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A5" w:rsidRPr="00913267" w:rsidRDefault="00CB4A4E" w:rsidP="00117BFD">
      <w:pPr>
        <w:tabs>
          <w:tab w:val="left" w:pos="6329"/>
        </w:tabs>
        <w:spacing w:line="276" w:lineRule="auto"/>
        <w:ind w:left="121"/>
        <w:rPr>
          <w:rFonts w:ascii="Times New Roman"/>
          <w:sz w:val="20"/>
          <w:lang w:val="en-GB"/>
        </w:rPr>
      </w:pPr>
      <w:r w:rsidRPr="00913267">
        <w:rPr>
          <w:rFonts w:ascii="Times New Roman"/>
          <w:position w:val="82"/>
          <w:sz w:val="20"/>
          <w:lang w:val="en-GB"/>
        </w:rPr>
        <w:t xml:space="preserve"> </w:t>
      </w:r>
      <w:r w:rsidR="0017216C" w:rsidRPr="00913267">
        <w:rPr>
          <w:rFonts w:ascii="Times New Roman"/>
          <w:noProof/>
          <w:position w:val="82"/>
          <w:sz w:val="20"/>
          <w:lang w:val="en-GB" w:eastAsia="en-GB"/>
        </w:rPr>
        <w:drawing>
          <wp:inline distT="0" distB="0" distL="0" distR="0" wp14:anchorId="0F6A0C52" wp14:editId="72674C60">
            <wp:extent cx="1926240" cy="6420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26240" cy="642080"/>
                    </a:xfrm>
                    <a:prstGeom prst="rect">
                      <a:avLst/>
                    </a:prstGeom>
                  </pic:spPr>
                </pic:pic>
              </a:graphicData>
            </a:graphic>
          </wp:inline>
        </w:drawing>
      </w:r>
      <w:r w:rsidR="0017216C" w:rsidRPr="00913267">
        <w:rPr>
          <w:rFonts w:ascii="Times New Roman"/>
          <w:position w:val="82"/>
          <w:sz w:val="20"/>
          <w:lang w:val="en-GB"/>
        </w:rPr>
        <w:tab/>
      </w:r>
      <w:r w:rsidR="0017216C" w:rsidRPr="00913267">
        <w:rPr>
          <w:rFonts w:ascii="Times New Roman"/>
          <w:noProof/>
          <w:sz w:val="20"/>
          <w:lang w:val="en-GB" w:eastAsia="en-GB"/>
        </w:rPr>
        <w:drawing>
          <wp:inline distT="0" distB="0" distL="0" distR="0" wp14:anchorId="7FE9ED9E" wp14:editId="4C4DB212">
            <wp:extent cx="1611787" cy="9841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11787" cy="984123"/>
                    </a:xfrm>
                    <a:prstGeom prst="rect">
                      <a:avLst/>
                    </a:prstGeom>
                  </pic:spPr>
                </pic:pic>
              </a:graphicData>
            </a:graphic>
          </wp:inline>
        </w:drawing>
      </w: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20"/>
          <w:lang w:val="en-GB"/>
        </w:rPr>
      </w:pPr>
    </w:p>
    <w:p w:rsidR="00F445A5" w:rsidRPr="00913267" w:rsidRDefault="00F445A5" w:rsidP="00117BFD">
      <w:pPr>
        <w:pStyle w:val="BodyText"/>
        <w:spacing w:line="276" w:lineRule="auto"/>
        <w:rPr>
          <w:rFonts w:ascii="Times New Roman"/>
          <w:sz w:val="19"/>
          <w:lang w:val="en-GB"/>
        </w:rPr>
      </w:pPr>
    </w:p>
    <w:p w:rsidR="00C45098" w:rsidRDefault="00C45098" w:rsidP="00C45098">
      <w:pPr>
        <w:spacing w:line="276" w:lineRule="auto"/>
        <w:ind w:left="404"/>
        <w:jc w:val="center"/>
        <w:rPr>
          <w:b/>
          <w:sz w:val="37"/>
          <w:lang w:val="en-GB"/>
        </w:rPr>
      </w:pPr>
      <w:r>
        <w:rPr>
          <w:b/>
          <w:sz w:val="37"/>
          <w:lang w:val="en-GB"/>
        </w:rPr>
        <w:t>Harrow CCG and Harrow Council</w:t>
      </w:r>
    </w:p>
    <w:p w:rsidR="00C45098" w:rsidRDefault="00C45098" w:rsidP="00C45098">
      <w:pPr>
        <w:spacing w:line="276" w:lineRule="auto"/>
        <w:ind w:left="404"/>
        <w:jc w:val="center"/>
        <w:rPr>
          <w:b/>
          <w:sz w:val="37"/>
          <w:lang w:val="en-GB"/>
        </w:rPr>
      </w:pPr>
    </w:p>
    <w:p w:rsidR="00C45098" w:rsidRDefault="004746A2" w:rsidP="00C45098">
      <w:pPr>
        <w:spacing w:line="276" w:lineRule="auto"/>
        <w:ind w:left="404"/>
        <w:jc w:val="center"/>
        <w:rPr>
          <w:b/>
          <w:sz w:val="37"/>
          <w:lang w:val="en-GB"/>
        </w:rPr>
      </w:pPr>
      <w:r w:rsidRPr="00913267">
        <w:rPr>
          <w:b/>
          <w:sz w:val="37"/>
          <w:lang w:val="en-GB"/>
        </w:rPr>
        <w:t>Joint Dementia Strategy</w:t>
      </w:r>
    </w:p>
    <w:p w:rsidR="00C45098" w:rsidRDefault="00C45098" w:rsidP="00C45098">
      <w:pPr>
        <w:spacing w:line="276" w:lineRule="auto"/>
        <w:ind w:left="404"/>
        <w:jc w:val="center"/>
        <w:rPr>
          <w:b/>
          <w:sz w:val="37"/>
          <w:lang w:val="en-GB"/>
        </w:rPr>
      </w:pPr>
    </w:p>
    <w:p w:rsidR="00F445A5" w:rsidRPr="00913267" w:rsidRDefault="004746A2" w:rsidP="00C45098">
      <w:pPr>
        <w:spacing w:line="276" w:lineRule="auto"/>
        <w:ind w:left="404"/>
        <w:jc w:val="center"/>
        <w:rPr>
          <w:b/>
          <w:sz w:val="37"/>
          <w:lang w:val="en-GB"/>
        </w:rPr>
      </w:pPr>
      <w:r w:rsidRPr="00913267">
        <w:rPr>
          <w:b/>
          <w:sz w:val="37"/>
          <w:lang w:val="en-GB"/>
        </w:rPr>
        <w:t>2018 – 2021</w:t>
      </w:r>
    </w:p>
    <w:p w:rsidR="00F445A5" w:rsidRPr="00913267" w:rsidRDefault="00F445A5" w:rsidP="00117BFD">
      <w:pPr>
        <w:pStyle w:val="BodyText"/>
        <w:spacing w:line="276" w:lineRule="auto"/>
        <w:rPr>
          <w:b/>
          <w:sz w:val="38"/>
          <w:lang w:val="en-GB"/>
        </w:rPr>
      </w:pPr>
    </w:p>
    <w:p w:rsidR="00F445A5" w:rsidRPr="00913267" w:rsidRDefault="00F445A5" w:rsidP="00117BFD">
      <w:pPr>
        <w:pStyle w:val="BodyText"/>
        <w:spacing w:line="276" w:lineRule="auto"/>
        <w:rPr>
          <w:b/>
          <w:sz w:val="38"/>
          <w:lang w:val="en-GB"/>
        </w:rPr>
      </w:pPr>
    </w:p>
    <w:p w:rsidR="00F445A5" w:rsidRPr="00913267" w:rsidRDefault="00F445A5" w:rsidP="00117BFD">
      <w:pPr>
        <w:pStyle w:val="BodyText"/>
        <w:spacing w:line="276" w:lineRule="auto"/>
        <w:rPr>
          <w:b/>
          <w:sz w:val="32"/>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0"/>
          <w:lang w:val="en-GB"/>
        </w:rPr>
      </w:pPr>
    </w:p>
    <w:p w:rsidR="00F445A5" w:rsidRPr="00913267" w:rsidRDefault="00F445A5" w:rsidP="00117BFD">
      <w:pPr>
        <w:pStyle w:val="BodyText"/>
        <w:spacing w:line="276" w:lineRule="auto"/>
        <w:rPr>
          <w:b/>
          <w:sz w:val="36"/>
          <w:lang w:val="en-GB"/>
        </w:rPr>
      </w:pPr>
    </w:p>
    <w:p w:rsidR="00F445A5" w:rsidRPr="00913267" w:rsidRDefault="0017216C" w:rsidP="00117BFD">
      <w:pPr>
        <w:spacing w:line="276" w:lineRule="auto"/>
        <w:ind w:right="690"/>
        <w:jc w:val="right"/>
        <w:rPr>
          <w:lang w:val="en-GB"/>
        </w:rPr>
      </w:pPr>
      <w:r w:rsidRPr="00913267">
        <w:rPr>
          <w:w w:val="105"/>
          <w:lang w:val="en-GB"/>
        </w:rPr>
        <w:t>Draft Version</w:t>
      </w:r>
      <w:r w:rsidR="00C128BA">
        <w:rPr>
          <w:w w:val="105"/>
          <w:lang w:val="en-GB"/>
        </w:rPr>
        <w:t>:</w:t>
      </w:r>
      <w:bookmarkStart w:id="0" w:name="_GoBack"/>
      <w:bookmarkEnd w:id="0"/>
      <w:r w:rsidRPr="00913267">
        <w:rPr>
          <w:spacing w:val="-52"/>
          <w:w w:val="105"/>
          <w:lang w:val="en-GB"/>
        </w:rPr>
        <w:t xml:space="preserve"> </w:t>
      </w:r>
      <w:r w:rsidR="00C128BA">
        <w:rPr>
          <w:w w:val="105"/>
          <w:lang w:val="en-GB"/>
        </w:rPr>
        <w:t>Final</w:t>
      </w:r>
    </w:p>
    <w:p w:rsidR="00F445A5" w:rsidRPr="00913267" w:rsidRDefault="00F445A5" w:rsidP="00117BFD">
      <w:pPr>
        <w:spacing w:line="276" w:lineRule="auto"/>
        <w:jc w:val="right"/>
        <w:rPr>
          <w:lang w:val="en-GB"/>
        </w:rPr>
        <w:sectPr w:rsidR="00F445A5" w:rsidRPr="00913267" w:rsidSect="001B7D7F">
          <w:headerReference w:type="default" r:id="rId11"/>
          <w:type w:val="continuous"/>
          <w:pgSz w:w="12240" w:h="15840"/>
          <w:pgMar w:top="1440" w:right="1440" w:bottom="1440" w:left="1440" w:header="720" w:footer="720" w:gutter="0"/>
          <w:cols w:space="720"/>
          <w:docGrid w:linePitch="299"/>
        </w:sectPr>
      </w:pPr>
    </w:p>
    <w:p w:rsidR="00F445A5" w:rsidRPr="00F94833" w:rsidRDefault="00F94833" w:rsidP="00117BFD">
      <w:pPr>
        <w:pStyle w:val="BodyText"/>
        <w:spacing w:line="276" w:lineRule="auto"/>
        <w:rPr>
          <w:b/>
          <w:lang w:val="en-GB"/>
        </w:rPr>
      </w:pPr>
      <w:r w:rsidRPr="00F94833">
        <w:rPr>
          <w:b/>
          <w:lang w:val="en-GB"/>
        </w:rPr>
        <w:lastRenderedPageBreak/>
        <w:t>Contents</w:t>
      </w:r>
    </w:p>
    <w:p w:rsidR="00F94833" w:rsidRDefault="00F94833" w:rsidP="00117BFD">
      <w:pPr>
        <w:pStyle w:val="BodyText"/>
        <w:spacing w:line="276" w:lineRule="auto"/>
        <w:rPr>
          <w:lang w:val="en-GB"/>
        </w:rPr>
      </w:pPr>
    </w:p>
    <w:p w:rsidR="00F94833" w:rsidRPr="007C4EA5" w:rsidRDefault="00F94833" w:rsidP="007C4EA5">
      <w:pPr>
        <w:pStyle w:val="ListParagraph"/>
        <w:numPr>
          <w:ilvl w:val="0"/>
          <w:numId w:val="47"/>
        </w:numPr>
        <w:spacing w:line="276" w:lineRule="auto"/>
        <w:rPr>
          <w:sz w:val="24"/>
          <w:szCs w:val="24"/>
          <w:lang w:val="en-GB"/>
        </w:rPr>
      </w:pPr>
      <w:r w:rsidRPr="007C4EA5">
        <w:rPr>
          <w:sz w:val="24"/>
          <w:szCs w:val="24"/>
          <w:lang w:val="en-GB"/>
        </w:rPr>
        <w:t>EXECUTIVE SUMMARY</w:t>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t>2</w:t>
      </w:r>
    </w:p>
    <w:p w:rsidR="00F94833" w:rsidRPr="00F94833" w:rsidRDefault="00F94833" w:rsidP="00F94833">
      <w:pPr>
        <w:spacing w:line="276" w:lineRule="auto"/>
        <w:rPr>
          <w:sz w:val="24"/>
          <w:szCs w:val="24"/>
          <w:lang w:val="en-GB"/>
        </w:rPr>
      </w:pPr>
    </w:p>
    <w:p w:rsidR="00F94833" w:rsidRPr="007C4EA5" w:rsidRDefault="00F94833" w:rsidP="007C4EA5">
      <w:pPr>
        <w:pStyle w:val="ListParagraph"/>
        <w:numPr>
          <w:ilvl w:val="0"/>
          <w:numId w:val="47"/>
        </w:numPr>
        <w:spacing w:line="276" w:lineRule="auto"/>
        <w:jc w:val="both"/>
        <w:rPr>
          <w:sz w:val="24"/>
          <w:szCs w:val="24"/>
          <w:lang w:val="en-GB"/>
        </w:rPr>
      </w:pPr>
      <w:r w:rsidRPr="007C4EA5">
        <w:rPr>
          <w:sz w:val="24"/>
          <w:szCs w:val="24"/>
          <w:lang w:val="en-GB"/>
        </w:rPr>
        <w:t>STATUTORY AND NON-STATUTORY GUIDANCE</w:t>
      </w:r>
      <w:r w:rsidR="007C4EA5">
        <w:rPr>
          <w:sz w:val="24"/>
          <w:szCs w:val="24"/>
          <w:lang w:val="en-GB"/>
        </w:rPr>
        <w:tab/>
      </w:r>
      <w:r w:rsidR="007C4EA5">
        <w:rPr>
          <w:sz w:val="24"/>
          <w:szCs w:val="24"/>
          <w:lang w:val="en-GB"/>
        </w:rPr>
        <w:tab/>
      </w:r>
      <w:r w:rsidR="007C4EA5">
        <w:rPr>
          <w:sz w:val="24"/>
          <w:szCs w:val="24"/>
          <w:lang w:val="en-GB"/>
        </w:rPr>
        <w:tab/>
        <w:t>3</w:t>
      </w:r>
      <w:r w:rsidR="007C4EA5">
        <w:rPr>
          <w:sz w:val="24"/>
          <w:szCs w:val="24"/>
          <w:lang w:val="en-GB"/>
        </w:rPr>
        <w:tab/>
      </w:r>
    </w:p>
    <w:p w:rsidR="00F94833" w:rsidRPr="00F94833" w:rsidRDefault="00F94833" w:rsidP="00F94833">
      <w:pPr>
        <w:spacing w:line="276" w:lineRule="auto"/>
        <w:jc w:val="both"/>
        <w:rPr>
          <w:sz w:val="24"/>
          <w:szCs w:val="24"/>
          <w:lang w:val="en-GB"/>
        </w:rPr>
      </w:pPr>
    </w:p>
    <w:p w:rsidR="00F94833" w:rsidRPr="007C4EA5" w:rsidRDefault="00F94833" w:rsidP="007C4EA5">
      <w:pPr>
        <w:pStyle w:val="ListParagraph"/>
        <w:numPr>
          <w:ilvl w:val="0"/>
          <w:numId w:val="47"/>
        </w:numPr>
        <w:spacing w:line="276" w:lineRule="auto"/>
        <w:jc w:val="both"/>
        <w:rPr>
          <w:sz w:val="24"/>
          <w:szCs w:val="24"/>
          <w:lang w:val="en-GB"/>
        </w:rPr>
      </w:pPr>
      <w:r w:rsidRPr="007C4EA5">
        <w:rPr>
          <w:sz w:val="24"/>
          <w:szCs w:val="24"/>
          <w:lang w:val="en-GB"/>
        </w:rPr>
        <w:t>UNDERSTANDING THE CHALLENGE</w:t>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r>
      <w:r w:rsidR="007C4EA5">
        <w:rPr>
          <w:sz w:val="24"/>
          <w:szCs w:val="24"/>
          <w:lang w:val="en-GB"/>
        </w:rPr>
        <w:tab/>
        <w:t>4</w:t>
      </w:r>
    </w:p>
    <w:p w:rsidR="00F94833" w:rsidRPr="00F94833" w:rsidRDefault="00F94833" w:rsidP="00F94833">
      <w:pPr>
        <w:spacing w:line="276" w:lineRule="auto"/>
        <w:jc w:val="both"/>
        <w:rPr>
          <w:sz w:val="24"/>
          <w:szCs w:val="24"/>
          <w:lang w:val="en-GB"/>
        </w:rPr>
      </w:pPr>
    </w:p>
    <w:p w:rsidR="00F94833" w:rsidRDefault="00F94833" w:rsidP="007C4EA5">
      <w:pPr>
        <w:pStyle w:val="BodyText"/>
        <w:numPr>
          <w:ilvl w:val="0"/>
          <w:numId w:val="47"/>
        </w:numPr>
        <w:spacing w:line="276" w:lineRule="auto"/>
        <w:ind w:right="4"/>
        <w:jc w:val="both"/>
        <w:rPr>
          <w:lang w:val="en-GB"/>
        </w:rPr>
      </w:pPr>
      <w:r w:rsidRPr="00F94833">
        <w:rPr>
          <w:lang w:val="en-GB"/>
        </w:rPr>
        <w:t>RISK FACTORS FOR</w:t>
      </w:r>
      <w:r w:rsidRPr="00F94833">
        <w:rPr>
          <w:spacing w:val="1"/>
          <w:lang w:val="en-GB"/>
        </w:rPr>
        <w:t xml:space="preserve"> </w:t>
      </w:r>
      <w:r w:rsidRPr="00F94833">
        <w:rPr>
          <w:lang w:val="en-GB"/>
        </w:rPr>
        <w:t>DEMENTIA</w:t>
      </w:r>
      <w:r w:rsidR="007C4EA5">
        <w:rPr>
          <w:lang w:val="en-GB"/>
        </w:rPr>
        <w:tab/>
      </w:r>
      <w:r w:rsidR="007C4EA5">
        <w:rPr>
          <w:lang w:val="en-GB"/>
        </w:rPr>
        <w:tab/>
      </w:r>
      <w:r w:rsidR="007C4EA5">
        <w:rPr>
          <w:lang w:val="en-GB"/>
        </w:rPr>
        <w:tab/>
      </w:r>
      <w:r w:rsidR="007C4EA5">
        <w:rPr>
          <w:lang w:val="en-GB"/>
        </w:rPr>
        <w:tab/>
      </w:r>
      <w:r w:rsidR="007C4EA5">
        <w:rPr>
          <w:lang w:val="en-GB"/>
        </w:rPr>
        <w:tab/>
        <w:t>8</w:t>
      </w:r>
    </w:p>
    <w:p w:rsidR="00F94833" w:rsidRPr="00F94833" w:rsidRDefault="00F94833" w:rsidP="00F94833">
      <w:pPr>
        <w:pStyle w:val="BodyText"/>
        <w:spacing w:line="276" w:lineRule="auto"/>
        <w:ind w:right="4"/>
        <w:jc w:val="both"/>
        <w:rPr>
          <w:lang w:val="en-GB"/>
        </w:rPr>
      </w:pPr>
    </w:p>
    <w:p w:rsidR="00F94833" w:rsidRDefault="00F94833" w:rsidP="007C4EA5">
      <w:pPr>
        <w:pStyle w:val="Heading1"/>
        <w:numPr>
          <w:ilvl w:val="0"/>
          <w:numId w:val="47"/>
        </w:numPr>
        <w:tabs>
          <w:tab w:val="left" w:pos="489"/>
        </w:tabs>
        <w:spacing w:line="276" w:lineRule="auto"/>
        <w:jc w:val="both"/>
        <w:rPr>
          <w:b w:val="0"/>
          <w:lang w:val="en-GB"/>
        </w:rPr>
      </w:pPr>
      <w:r w:rsidRPr="00F94833">
        <w:rPr>
          <w:b w:val="0"/>
          <w:lang w:val="en-GB"/>
        </w:rPr>
        <w:t xml:space="preserve">THE NATIONAL CONTEXT </w:t>
      </w:r>
      <w:r w:rsidR="007C4EA5">
        <w:rPr>
          <w:b w:val="0"/>
          <w:lang w:val="en-GB"/>
        </w:rPr>
        <w:tab/>
      </w:r>
      <w:r w:rsidR="007C4EA5">
        <w:rPr>
          <w:b w:val="0"/>
          <w:lang w:val="en-GB"/>
        </w:rPr>
        <w:tab/>
      </w:r>
      <w:r w:rsidR="007C4EA5">
        <w:rPr>
          <w:b w:val="0"/>
          <w:lang w:val="en-GB"/>
        </w:rPr>
        <w:tab/>
      </w:r>
      <w:r w:rsidR="007C4EA5">
        <w:rPr>
          <w:b w:val="0"/>
          <w:lang w:val="en-GB"/>
        </w:rPr>
        <w:tab/>
      </w:r>
      <w:r w:rsidR="007C4EA5">
        <w:rPr>
          <w:b w:val="0"/>
          <w:lang w:val="en-GB"/>
        </w:rPr>
        <w:tab/>
      </w:r>
      <w:r w:rsidR="007C4EA5">
        <w:rPr>
          <w:b w:val="0"/>
          <w:lang w:val="en-GB"/>
        </w:rPr>
        <w:tab/>
        <w:t>10</w:t>
      </w:r>
    </w:p>
    <w:p w:rsidR="00F94833" w:rsidRPr="00F94833" w:rsidRDefault="00F94833" w:rsidP="00F94833">
      <w:pPr>
        <w:pStyle w:val="Heading1"/>
        <w:tabs>
          <w:tab w:val="left" w:pos="489"/>
        </w:tabs>
        <w:spacing w:line="276" w:lineRule="auto"/>
        <w:ind w:left="0"/>
        <w:jc w:val="both"/>
        <w:rPr>
          <w:b w:val="0"/>
          <w:lang w:val="en-GB"/>
        </w:rPr>
      </w:pPr>
    </w:p>
    <w:p w:rsidR="00F94833" w:rsidRDefault="00F94833" w:rsidP="007C4EA5">
      <w:pPr>
        <w:pStyle w:val="BodyText"/>
        <w:numPr>
          <w:ilvl w:val="0"/>
          <w:numId w:val="47"/>
        </w:numPr>
        <w:spacing w:line="276" w:lineRule="auto"/>
        <w:jc w:val="both"/>
        <w:rPr>
          <w:lang w:val="en-GB"/>
        </w:rPr>
      </w:pPr>
      <w:r w:rsidRPr="00F94833">
        <w:rPr>
          <w:lang w:val="en-GB"/>
        </w:rPr>
        <w:t xml:space="preserve">LOCAL CONTEXT </w:t>
      </w:r>
      <w:r w:rsidR="007C4EA5">
        <w:rPr>
          <w:lang w:val="en-GB"/>
        </w:rPr>
        <w:tab/>
      </w:r>
      <w:r w:rsidR="007C4EA5">
        <w:rPr>
          <w:lang w:val="en-GB"/>
        </w:rPr>
        <w:tab/>
      </w:r>
      <w:r w:rsidR="007C4EA5">
        <w:rPr>
          <w:lang w:val="en-GB"/>
        </w:rPr>
        <w:tab/>
      </w:r>
      <w:r w:rsidR="007C4EA5">
        <w:rPr>
          <w:lang w:val="en-GB"/>
        </w:rPr>
        <w:tab/>
      </w:r>
      <w:r w:rsidR="007C4EA5">
        <w:rPr>
          <w:lang w:val="en-GB"/>
        </w:rPr>
        <w:tab/>
      </w:r>
      <w:r w:rsidR="007C4EA5">
        <w:rPr>
          <w:lang w:val="en-GB"/>
        </w:rPr>
        <w:tab/>
      </w:r>
      <w:r w:rsidR="007C4EA5">
        <w:rPr>
          <w:lang w:val="en-GB"/>
        </w:rPr>
        <w:tab/>
      </w:r>
      <w:r w:rsidR="007C4EA5">
        <w:rPr>
          <w:lang w:val="en-GB"/>
        </w:rPr>
        <w:tab/>
        <w:t>13</w:t>
      </w:r>
    </w:p>
    <w:p w:rsidR="00F94833" w:rsidRPr="00F94833" w:rsidRDefault="00F94833" w:rsidP="00F94833">
      <w:pPr>
        <w:pStyle w:val="BodyText"/>
        <w:spacing w:line="276" w:lineRule="auto"/>
        <w:jc w:val="both"/>
        <w:rPr>
          <w:lang w:val="en-GB"/>
        </w:rPr>
      </w:pPr>
    </w:p>
    <w:p w:rsidR="00F94833" w:rsidRDefault="00F94833" w:rsidP="00C128BA">
      <w:pPr>
        <w:pStyle w:val="BodyText"/>
        <w:numPr>
          <w:ilvl w:val="0"/>
          <w:numId w:val="47"/>
        </w:numPr>
        <w:spacing w:line="276" w:lineRule="auto"/>
        <w:ind w:right="6"/>
        <w:rPr>
          <w:color w:val="000000" w:themeColor="text1"/>
          <w:lang w:val="en-GB"/>
        </w:rPr>
      </w:pPr>
      <w:r w:rsidRPr="00F94833">
        <w:rPr>
          <w:color w:val="000000" w:themeColor="text1"/>
          <w:lang w:val="en-GB"/>
        </w:rPr>
        <w:t>STRATEGIC IMPROVEMENT AND INTERVENTIONS</w:t>
      </w:r>
      <w:r w:rsidR="00C128BA">
        <w:rPr>
          <w:color w:val="000000" w:themeColor="text1"/>
          <w:lang w:val="en-GB"/>
        </w:rPr>
        <w:tab/>
      </w:r>
      <w:r w:rsidR="00C128BA">
        <w:rPr>
          <w:color w:val="000000" w:themeColor="text1"/>
          <w:lang w:val="en-GB"/>
        </w:rPr>
        <w:tab/>
        <w:t>19</w:t>
      </w:r>
    </w:p>
    <w:p w:rsidR="00F94833" w:rsidRPr="00F94833" w:rsidRDefault="00F94833" w:rsidP="00F94833">
      <w:pPr>
        <w:pStyle w:val="BodyText"/>
        <w:tabs>
          <w:tab w:val="left" w:pos="9356"/>
        </w:tabs>
        <w:spacing w:line="276" w:lineRule="auto"/>
        <w:ind w:right="6"/>
        <w:rPr>
          <w:color w:val="000000" w:themeColor="text1"/>
          <w:lang w:val="en-GB"/>
        </w:rPr>
      </w:pPr>
    </w:p>
    <w:p w:rsidR="00F94833" w:rsidRPr="007C4EA5" w:rsidRDefault="00F94833" w:rsidP="007C4EA5">
      <w:pPr>
        <w:pStyle w:val="ListParagraph"/>
        <w:numPr>
          <w:ilvl w:val="0"/>
          <w:numId w:val="47"/>
        </w:numPr>
        <w:spacing w:line="276" w:lineRule="auto"/>
        <w:jc w:val="both"/>
        <w:rPr>
          <w:b/>
          <w:sz w:val="24"/>
          <w:szCs w:val="24"/>
          <w:lang w:val="en-GB"/>
        </w:rPr>
      </w:pPr>
      <w:r w:rsidRPr="007C4EA5">
        <w:rPr>
          <w:sz w:val="24"/>
          <w:szCs w:val="24"/>
          <w:lang w:val="en-GB"/>
        </w:rPr>
        <w:t>CONCLUSION</w:t>
      </w:r>
      <w:r w:rsidR="00C128BA">
        <w:rPr>
          <w:sz w:val="24"/>
          <w:szCs w:val="24"/>
          <w:lang w:val="en-GB"/>
        </w:rPr>
        <w:tab/>
      </w:r>
      <w:r w:rsidR="00C128BA">
        <w:rPr>
          <w:sz w:val="24"/>
          <w:szCs w:val="24"/>
          <w:lang w:val="en-GB"/>
        </w:rPr>
        <w:tab/>
      </w:r>
      <w:r w:rsidR="00C128BA">
        <w:rPr>
          <w:sz w:val="24"/>
          <w:szCs w:val="24"/>
          <w:lang w:val="en-GB"/>
        </w:rPr>
        <w:tab/>
      </w:r>
      <w:r w:rsidR="00C128BA">
        <w:rPr>
          <w:sz w:val="24"/>
          <w:szCs w:val="24"/>
          <w:lang w:val="en-GB"/>
        </w:rPr>
        <w:tab/>
      </w:r>
      <w:r w:rsidR="00C128BA">
        <w:rPr>
          <w:sz w:val="24"/>
          <w:szCs w:val="24"/>
          <w:lang w:val="en-GB"/>
        </w:rPr>
        <w:tab/>
      </w:r>
      <w:r w:rsidR="00C128BA">
        <w:rPr>
          <w:sz w:val="24"/>
          <w:szCs w:val="24"/>
          <w:lang w:val="en-GB"/>
        </w:rPr>
        <w:tab/>
      </w:r>
      <w:r w:rsidR="00C128BA">
        <w:rPr>
          <w:sz w:val="24"/>
          <w:szCs w:val="24"/>
          <w:lang w:val="en-GB"/>
        </w:rPr>
        <w:tab/>
      </w:r>
      <w:r w:rsidR="00C128BA">
        <w:rPr>
          <w:sz w:val="24"/>
          <w:szCs w:val="24"/>
          <w:lang w:val="en-GB"/>
        </w:rPr>
        <w:tab/>
        <w:t>28</w:t>
      </w:r>
    </w:p>
    <w:p w:rsidR="00F94833" w:rsidRDefault="00F94833" w:rsidP="00F94833">
      <w:pPr>
        <w:spacing w:line="276" w:lineRule="auto"/>
        <w:jc w:val="both"/>
        <w:rPr>
          <w:b/>
          <w:sz w:val="24"/>
          <w:szCs w:val="24"/>
          <w:lang w:val="en-GB"/>
        </w:rPr>
      </w:pPr>
    </w:p>
    <w:p w:rsidR="00F94833" w:rsidRPr="00913267" w:rsidRDefault="00F94833" w:rsidP="00F94833">
      <w:pPr>
        <w:spacing w:line="276" w:lineRule="auto"/>
        <w:jc w:val="both"/>
        <w:rPr>
          <w:b/>
          <w:sz w:val="24"/>
          <w:szCs w:val="24"/>
          <w:lang w:val="en-GB"/>
        </w:rPr>
      </w:pPr>
    </w:p>
    <w:p w:rsidR="00F445A5" w:rsidRPr="00F94833" w:rsidRDefault="00F445A5" w:rsidP="00117BFD">
      <w:pPr>
        <w:pStyle w:val="BodyText"/>
        <w:spacing w:line="276" w:lineRule="auto"/>
        <w:rPr>
          <w:lang w:val="en-GB"/>
        </w:rPr>
      </w:pPr>
    </w:p>
    <w:p w:rsidR="00F445A5" w:rsidRPr="00F94833" w:rsidRDefault="00F445A5" w:rsidP="00464025">
      <w:pPr>
        <w:pStyle w:val="BodyText"/>
        <w:spacing w:line="276" w:lineRule="auto"/>
        <w:rPr>
          <w:sz w:val="36"/>
          <w:lang w:val="en-GB"/>
        </w:rPr>
      </w:pPr>
    </w:p>
    <w:sdt>
      <w:sdtPr>
        <w:rPr>
          <w:sz w:val="32"/>
          <w:lang w:val="en-GB"/>
        </w:rPr>
        <w:id w:val="-253358008"/>
        <w:docPartObj>
          <w:docPartGallery w:val="Table of Contents"/>
          <w:docPartUnique/>
        </w:docPartObj>
      </w:sdtPr>
      <w:sdtEndPr/>
      <w:sdtContent>
        <w:p w:rsidR="00447A74" w:rsidRPr="00F94833" w:rsidRDefault="00447A74" w:rsidP="00447A74">
          <w:pPr>
            <w:pStyle w:val="TOC1"/>
            <w:tabs>
              <w:tab w:val="left" w:pos="489"/>
              <w:tab w:val="right" w:pos="8822"/>
            </w:tabs>
            <w:spacing w:before="0" w:line="276" w:lineRule="auto"/>
            <w:ind w:left="0" w:firstLine="0"/>
            <w:rPr>
              <w:b w:val="0"/>
              <w:bCs w:val="0"/>
              <w:sz w:val="32"/>
              <w:lang w:val="en-GB"/>
            </w:rPr>
          </w:pPr>
        </w:p>
        <w:p w:rsidR="00F445A5" w:rsidRPr="00F94833" w:rsidRDefault="000725C2" w:rsidP="00464025">
          <w:pPr>
            <w:pStyle w:val="TOC1"/>
            <w:tabs>
              <w:tab w:val="right" w:pos="8820"/>
            </w:tabs>
            <w:spacing w:before="0" w:line="276" w:lineRule="auto"/>
            <w:ind w:left="0" w:firstLine="0"/>
            <w:rPr>
              <w:sz w:val="32"/>
              <w:lang w:val="en-GB"/>
            </w:rPr>
          </w:pPr>
        </w:p>
      </w:sdtContent>
    </w:sdt>
    <w:p w:rsidR="00F445A5" w:rsidRPr="00F94833" w:rsidRDefault="00F445A5" w:rsidP="00464025">
      <w:pPr>
        <w:spacing w:line="276" w:lineRule="auto"/>
        <w:rPr>
          <w:sz w:val="28"/>
          <w:lang w:val="en-GB"/>
        </w:rPr>
        <w:sectPr w:rsidR="00F445A5" w:rsidRPr="00F94833" w:rsidSect="008A01FC">
          <w:footerReference w:type="default" r:id="rId12"/>
          <w:pgSz w:w="12240" w:h="15840"/>
          <w:pgMar w:top="1440" w:right="1440" w:bottom="1440" w:left="1440" w:header="0" w:footer="668" w:gutter="0"/>
          <w:pgNumType w:start="1"/>
          <w:cols w:space="720"/>
          <w:docGrid w:linePitch="299"/>
        </w:sectPr>
      </w:pPr>
    </w:p>
    <w:p w:rsidR="009B65EA" w:rsidRPr="00913267" w:rsidRDefault="002E02DA" w:rsidP="00464025">
      <w:pPr>
        <w:spacing w:line="276" w:lineRule="auto"/>
        <w:rPr>
          <w:b/>
          <w:sz w:val="24"/>
          <w:szCs w:val="24"/>
          <w:lang w:val="en-GB"/>
        </w:rPr>
      </w:pPr>
      <w:r w:rsidRPr="00913267">
        <w:rPr>
          <w:b/>
          <w:sz w:val="24"/>
          <w:szCs w:val="24"/>
          <w:lang w:val="en-GB"/>
        </w:rPr>
        <w:t>EXECUTIVE SUMMARY</w:t>
      </w:r>
    </w:p>
    <w:p w:rsidR="002E02DA" w:rsidRPr="00913267" w:rsidRDefault="002E02DA" w:rsidP="00464025">
      <w:pPr>
        <w:pStyle w:val="ListParagraph"/>
        <w:spacing w:line="276" w:lineRule="auto"/>
        <w:ind w:left="0" w:firstLine="0"/>
        <w:rPr>
          <w:sz w:val="24"/>
          <w:szCs w:val="24"/>
          <w:lang w:val="en-GB"/>
        </w:rPr>
      </w:pPr>
    </w:p>
    <w:p w:rsidR="004F00F5" w:rsidRPr="00913267" w:rsidRDefault="004F00F5" w:rsidP="00464025">
      <w:pPr>
        <w:pStyle w:val="ListParagraph"/>
        <w:spacing w:line="276" w:lineRule="auto"/>
        <w:ind w:left="0" w:firstLine="0"/>
        <w:rPr>
          <w:sz w:val="24"/>
          <w:szCs w:val="24"/>
          <w:lang w:val="en-GB"/>
        </w:rPr>
      </w:pPr>
    </w:p>
    <w:p w:rsidR="005911AA" w:rsidRPr="00913267" w:rsidRDefault="005911AA" w:rsidP="00464025">
      <w:pPr>
        <w:spacing w:line="276" w:lineRule="auto"/>
        <w:jc w:val="both"/>
        <w:rPr>
          <w:sz w:val="24"/>
          <w:szCs w:val="24"/>
          <w:lang w:val="en-GB"/>
        </w:rPr>
      </w:pPr>
      <w:r w:rsidRPr="00913267">
        <w:rPr>
          <w:sz w:val="24"/>
          <w:szCs w:val="24"/>
          <w:lang w:val="en-GB"/>
        </w:rPr>
        <w:t xml:space="preserve">Dementia is the term used to describe </w:t>
      </w:r>
      <w:r w:rsidR="00FE0A49" w:rsidRPr="00913267">
        <w:rPr>
          <w:sz w:val="24"/>
          <w:szCs w:val="24"/>
          <w:lang w:val="en-GB"/>
        </w:rPr>
        <w:t xml:space="preserve">a progressive illness that usually harbours a number of </w:t>
      </w:r>
      <w:r w:rsidRPr="00913267">
        <w:rPr>
          <w:sz w:val="24"/>
          <w:szCs w:val="24"/>
          <w:lang w:val="en-GB"/>
        </w:rPr>
        <w:t xml:space="preserve">symptoms </w:t>
      </w:r>
      <w:r w:rsidR="00FE0A49" w:rsidRPr="00913267">
        <w:rPr>
          <w:sz w:val="24"/>
          <w:szCs w:val="24"/>
          <w:lang w:val="en-GB"/>
        </w:rPr>
        <w:t>including memory loss leading to a</w:t>
      </w:r>
      <w:r w:rsidRPr="00913267">
        <w:rPr>
          <w:sz w:val="24"/>
          <w:szCs w:val="24"/>
          <w:lang w:val="en-GB"/>
        </w:rPr>
        <w:t xml:space="preserve"> decline in a person’s functioning. The condition does not only affect the memory but also affects intellect, rationality, social and emotional reactions. </w:t>
      </w:r>
    </w:p>
    <w:p w:rsidR="00117BFD" w:rsidRPr="00913267" w:rsidRDefault="00117BFD" w:rsidP="00464025">
      <w:pPr>
        <w:spacing w:line="276" w:lineRule="auto"/>
        <w:jc w:val="both"/>
        <w:rPr>
          <w:sz w:val="24"/>
          <w:szCs w:val="24"/>
          <w:lang w:val="en-GB"/>
        </w:rPr>
      </w:pPr>
    </w:p>
    <w:p w:rsidR="00113AE7" w:rsidRPr="00913267" w:rsidRDefault="00113AE7" w:rsidP="00464025">
      <w:pPr>
        <w:spacing w:line="276" w:lineRule="auto"/>
        <w:jc w:val="both"/>
        <w:rPr>
          <w:sz w:val="24"/>
          <w:szCs w:val="24"/>
          <w:lang w:val="en-GB"/>
        </w:rPr>
      </w:pPr>
      <w:r w:rsidRPr="00913267">
        <w:rPr>
          <w:sz w:val="24"/>
          <w:szCs w:val="24"/>
          <w:lang w:val="en-GB"/>
        </w:rPr>
        <w:t>We recognise that living with dementia and supporting a person with dementia can be very challenging and that situations can arise that are difficult for the person with dementia or those supporting them. We believe that working collaboratively we can deliver sustained improvements in dementia service</w:t>
      </w:r>
      <w:r w:rsidR="00FE0A49" w:rsidRPr="00913267">
        <w:rPr>
          <w:sz w:val="24"/>
          <w:szCs w:val="24"/>
          <w:lang w:val="en-GB"/>
        </w:rPr>
        <w:t>s</w:t>
      </w:r>
      <w:r w:rsidRPr="00913267">
        <w:rPr>
          <w:sz w:val="24"/>
          <w:szCs w:val="24"/>
          <w:lang w:val="en-GB"/>
        </w:rPr>
        <w:t xml:space="preserve"> and make Harrow more dementia friendly</w:t>
      </w:r>
      <w:r w:rsidR="00FE0A49" w:rsidRPr="00913267">
        <w:rPr>
          <w:sz w:val="24"/>
          <w:szCs w:val="24"/>
          <w:lang w:val="en-GB"/>
        </w:rPr>
        <w:t>.</w:t>
      </w:r>
      <w:r w:rsidRPr="00913267">
        <w:rPr>
          <w:sz w:val="24"/>
          <w:szCs w:val="24"/>
          <w:lang w:val="en-GB"/>
        </w:rPr>
        <w:t xml:space="preserve"> </w:t>
      </w:r>
    </w:p>
    <w:p w:rsidR="00117BFD" w:rsidRPr="00913267" w:rsidRDefault="00117BFD" w:rsidP="00464025">
      <w:pPr>
        <w:spacing w:line="276" w:lineRule="auto"/>
        <w:jc w:val="both"/>
        <w:rPr>
          <w:sz w:val="24"/>
          <w:szCs w:val="24"/>
          <w:lang w:val="en-GB"/>
        </w:rPr>
      </w:pPr>
    </w:p>
    <w:p w:rsidR="005911AA" w:rsidRPr="00913267" w:rsidRDefault="005911AA" w:rsidP="00464025">
      <w:pPr>
        <w:spacing w:line="276" w:lineRule="auto"/>
        <w:jc w:val="both"/>
        <w:rPr>
          <w:sz w:val="24"/>
          <w:szCs w:val="24"/>
          <w:lang w:val="en-GB"/>
        </w:rPr>
      </w:pPr>
      <w:r w:rsidRPr="00913267">
        <w:rPr>
          <w:sz w:val="24"/>
          <w:szCs w:val="24"/>
          <w:lang w:val="en-GB"/>
        </w:rPr>
        <w:t>The condition is sometimes associated with stigma and cultural taboo which often leads to social exclusion, discrimination and disempowerment in some cases.  The stigma affects a person’s ability to seek help which, in turn, affects the process of early diagnosis and assessment as well as referral to services and support.</w:t>
      </w:r>
    </w:p>
    <w:p w:rsidR="00117BFD" w:rsidRPr="00913267" w:rsidRDefault="00117BFD" w:rsidP="00464025">
      <w:pPr>
        <w:spacing w:line="276" w:lineRule="auto"/>
        <w:jc w:val="both"/>
        <w:rPr>
          <w:sz w:val="24"/>
          <w:szCs w:val="24"/>
          <w:lang w:val="en-GB"/>
        </w:rPr>
      </w:pPr>
    </w:p>
    <w:p w:rsidR="008F6C86" w:rsidRPr="00913267" w:rsidRDefault="00117BFD" w:rsidP="00464025">
      <w:pPr>
        <w:spacing w:line="276" w:lineRule="auto"/>
        <w:jc w:val="both"/>
        <w:rPr>
          <w:sz w:val="24"/>
          <w:szCs w:val="24"/>
          <w:lang w:val="en-GB"/>
        </w:rPr>
      </w:pPr>
      <w:r w:rsidRPr="00913267">
        <w:rPr>
          <w:sz w:val="24"/>
          <w:szCs w:val="24"/>
          <w:lang w:val="en-GB"/>
        </w:rPr>
        <w:t xml:space="preserve">The Royal College of Psychiatrist describe </w:t>
      </w:r>
      <w:r w:rsidR="002E02DA" w:rsidRPr="00913267">
        <w:rPr>
          <w:sz w:val="24"/>
          <w:szCs w:val="24"/>
          <w:lang w:val="en-GB"/>
        </w:rPr>
        <w:t>Alzheimer’s disease</w:t>
      </w:r>
      <w:r w:rsidR="008F6C86" w:rsidRPr="00913267">
        <w:rPr>
          <w:sz w:val="24"/>
          <w:szCs w:val="24"/>
          <w:lang w:val="en-GB"/>
        </w:rPr>
        <w:t xml:space="preserve"> as</w:t>
      </w:r>
      <w:r w:rsidRPr="00913267">
        <w:rPr>
          <w:rFonts w:eastAsia="Times New Roman" w:cstheme="minorHAnsi"/>
          <w:color w:val="000000"/>
          <w:sz w:val="24"/>
          <w:szCs w:val="18"/>
          <w:lang w:val="en-GB" w:eastAsia="en-GB"/>
        </w:rPr>
        <w:t xml:space="preserve"> the m</w:t>
      </w:r>
      <w:r w:rsidR="008F6C86" w:rsidRPr="00913267">
        <w:rPr>
          <w:rFonts w:eastAsia="Times New Roman" w:cstheme="minorHAnsi"/>
          <w:color w:val="000000"/>
          <w:sz w:val="24"/>
          <w:szCs w:val="18"/>
          <w:lang w:val="en-GB" w:eastAsia="en-GB"/>
        </w:rPr>
        <w:t>ost common cause of dementia which</w:t>
      </w:r>
      <w:r w:rsidRPr="00913267">
        <w:rPr>
          <w:rFonts w:eastAsia="Times New Roman" w:cstheme="minorHAnsi"/>
          <w:color w:val="000000"/>
          <w:sz w:val="24"/>
          <w:szCs w:val="18"/>
          <w:lang w:val="en-GB" w:eastAsia="en-GB"/>
        </w:rPr>
        <w:t xml:space="preserve"> accounts for about 7 in 10 of all dementias. It typically begins with </w:t>
      </w:r>
      <w:r w:rsidRPr="00913267">
        <w:rPr>
          <w:sz w:val="24"/>
          <w:szCs w:val="24"/>
          <w:lang w:val="en-GB"/>
        </w:rPr>
        <w:t>memory problems and slowly gets worse over time. People will often notice that</w:t>
      </w:r>
      <w:r w:rsidR="008F6C86" w:rsidRPr="00913267">
        <w:rPr>
          <w:sz w:val="24"/>
          <w:szCs w:val="24"/>
          <w:lang w:val="en-GB"/>
        </w:rPr>
        <w:t xml:space="preserve"> </w:t>
      </w:r>
      <w:r w:rsidRPr="00913267">
        <w:rPr>
          <w:sz w:val="24"/>
          <w:szCs w:val="24"/>
          <w:lang w:val="en-GB"/>
        </w:rPr>
        <w:t xml:space="preserve">they can't remember things that happened recently, even though they can still remember what happened years ago. They will often find that they have difficulty recalling particular words and naming objects. </w:t>
      </w:r>
    </w:p>
    <w:p w:rsidR="008F6C86" w:rsidRPr="00913267" w:rsidRDefault="008F6C86" w:rsidP="00464025">
      <w:pPr>
        <w:spacing w:line="276" w:lineRule="auto"/>
        <w:jc w:val="both"/>
        <w:rPr>
          <w:sz w:val="24"/>
          <w:szCs w:val="24"/>
          <w:lang w:val="en-GB"/>
        </w:rPr>
      </w:pPr>
    </w:p>
    <w:p w:rsidR="008F6C86" w:rsidRPr="00913267" w:rsidRDefault="008F6C86" w:rsidP="00464025">
      <w:pPr>
        <w:spacing w:line="276" w:lineRule="auto"/>
        <w:jc w:val="both"/>
        <w:rPr>
          <w:rFonts w:eastAsia="Times New Roman" w:cstheme="minorHAnsi"/>
          <w:color w:val="000000"/>
          <w:sz w:val="24"/>
          <w:szCs w:val="18"/>
          <w:lang w:val="en-GB" w:eastAsia="en-GB"/>
        </w:rPr>
      </w:pPr>
      <w:r w:rsidRPr="00913267">
        <w:rPr>
          <w:sz w:val="24"/>
          <w:szCs w:val="24"/>
          <w:lang w:val="en-GB"/>
        </w:rPr>
        <w:t>Vascular dementia is another form of dementia which is caused by the blood vessels supplying the brain becoming damaged</w:t>
      </w:r>
      <w:r w:rsidRPr="00913267">
        <w:rPr>
          <w:rFonts w:eastAsia="Times New Roman" w:cstheme="minorHAnsi"/>
          <w:color w:val="000000"/>
          <w:sz w:val="24"/>
          <w:szCs w:val="18"/>
          <w:lang w:val="en-GB" w:eastAsia="en-GB"/>
        </w:rPr>
        <w:t xml:space="preserve"> or blocked. This can lead to small strokes, or parts of the brain dying, as they are starved of oxygen and nutrients.  This dementia can come on more quickly than Alzheimer’s. Someone with vascular dementia is more likely to suffer from conditions which lead to blocked arteries, such as high blood pressure, smoking, diabetes or high cholesterol.</w:t>
      </w:r>
    </w:p>
    <w:p w:rsidR="008F6C86" w:rsidRPr="00913267" w:rsidRDefault="008F6C86" w:rsidP="00464025">
      <w:pPr>
        <w:spacing w:line="276" w:lineRule="auto"/>
        <w:jc w:val="both"/>
        <w:rPr>
          <w:rFonts w:eastAsia="Times New Roman" w:cstheme="minorHAnsi"/>
          <w:color w:val="000000"/>
          <w:sz w:val="24"/>
          <w:szCs w:val="18"/>
          <w:lang w:val="en-GB" w:eastAsia="en-GB"/>
        </w:rPr>
      </w:pPr>
    </w:p>
    <w:p w:rsidR="005911AA" w:rsidRPr="00913267" w:rsidRDefault="00113AE7" w:rsidP="00464025">
      <w:pPr>
        <w:spacing w:line="276" w:lineRule="auto"/>
        <w:jc w:val="both"/>
        <w:rPr>
          <w:sz w:val="24"/>
          <w:szCs w:val="24"/>
          <w:lang w:val="en-GB"/>
        </w:rPr>
      </w:pPr>
      <w:r w:rsidRPr="00913267">
        <w:rPr>
          <w:sz w:val="24"/>
          <w:szCs w:val="24"/>
          <w:lang w:val="en-GB"/>
        </w:rPr>
        <w:t>We are working hard to</w:t>
      </w:r>
      <w:r w:rsidR="005911AA" w:rsidRPr="00913267">
        <w:rPr>
          <w:sz w:val="24"/>
          <w:szCs w:val="24"/>
          <w:lang w:val="en-GB"/>
        </w:rPr>
        <w:t xml:space="preserve"> raise community awareness about the effects of the stigma associated with dementia, to address the need to change the way people approach dementia, make recommendations for further action and to empower people living with dementia to achieve their potential.</w:t>
      </w:r>
    </w:p>
    <w:p w:rsidR="008F6C86" w:rsidRPr="00913267" w:rsidRDefault="008F6C86" w:rsidP="00464025">
      <w:pPr>
        <w:spacing w:line="276" w:lineRule="auto"/>
        <w:jc w:val="both"/>
        <w:rPr>
          <w:sz w:val="24"/>
          <w:szCs w:val="24"/>
          <w:lang w:val="en-GB"/>
        </w:rPr>
      </w:pPr>
    </w:p>
    <w:p w:rsidR="009B65EA" w:rsidRPr="00913267" w:rsidRDefault="009B65EA" w:rsidP="00464025">
      <w:pPr>
        <w:spacing w:line="276" w:lineRule="auto"/>
        <w:jc w:val="both"/>
        <w:rPr>
          <w:sz w:val="24"/>
          <w:szCs w:val="24"/>
          <w:lang w:val="en-GB"/>
        </w:rPr>
      </w:pPr>
      <w:r w:rsidRPr="00913267">
        <w:rPr>
          <w:sz w:val="24"/>
          <w:szCs w:val="24"/>
          <w:lang w:val="en-GB"/>
        </w:rPr>
        <w:t xml:space="preserve">Harrow CCG, </w:t>
      </w:r>
      <w:r w:rsidR="008F6C86" w:rsidRPr="00913267">
        <w:rPr>
          <w:sz w:val="24"/>
          <w:szCs w:val="24"/>
          <w:lang w:val="en-GB"/>
        </w:rPr>
        <w:t>Harrow Local A</w:t>
      </w:r>
      <w:r w:rsidRPr="00913267">
        <w:rPr>
          <w:sz w:val="24"/>
          <w:szCs w:val="24"/>
          <w:lang w:val="en-GB"/>
        </w:rPr>
        <w:t xml:space="preserve">uthority and </w:t>
      </w:r>
      <w:r w:rsidR="008F6C86" w:rsidRPr="00913267">
        <w:rPr>
          <w:sz w:val="24"/>
          <w:szCs w:val="24"/>
          <w:lang w:val="en-GB"/>
        </w:rPr>
        <w:t>P</w:t>
      </w:r>
      <w:r w:rsidRPr="00913267">
        <w:rPr>
          <w:sz w:val="24"/>
          <w:szCs w:val="24"/>
          <w:lang w:val="en-GB"/>
        </w:rPr>
        <w:t xml:space="preserve">ublic </w:t>
      </w:r>
      <w:r w:rsidR="008F6C86" w:rsidRPr="00913267">
        <w:rPr>
          <w:sz w:val="24"/>
          <w:szCs w:val="24"/>
          <w:lang w:val="en-GB"/>
        </w:rPr>
        <w:t>H</w:t>
      </w:r>
      <w:r w:rsidRPr="00913267">
        <w:rPr>
          <w:sz w:val="24"/>
          <w:szCs w:val="24"/>
          <w:lang w:val="en-GB"/>
        </w:rPr>
        <w:t>ealth</w:t>
      </w:r>
      <w:r w:rsidR="008F6C86" w:rsidRPr="00913267">
        <w:rPr>
          <w:sz w:val="24"/>
          <w:szCs w:val="24"/>
          <w:lang w:val="en-GB"/>
        </w:rPr>
        <w:t xml:space="preserve"> Harrow</w:t>
      </w:r>
      <w:r w:rsidRPr="00913267">
        <w:rPr>
          <w:sz w:val="24"/>
          <w:szCs w:val="24"/>
          <w:lang w:val="en-GB"/>
        </w:rPr>
        <w:t xml:space="preserve"> are committed to improving </w:t>
      </w:r>
      <w:r w:rsidR="008F6C86" w:rsidRPr="00913267">
        <w:rPr>
          <w:sz w:val="24"/>
          <w:szCs w:val="24"/>
          <w:lang w:val="en-GB"/>
        </w:rPr>
        <w:t xml:space="preserve">the </w:t>
      </w:r>
      <w:r w:rsidRPr="00913267">
        <w:rPr>
          <w:sz w:val="24"/>
          <w:szCs w:val="24"/>
          <w:lang w:val="en-GB"/>
        </w:rPr>
        <w:t xml:space="preserve">patient’s journeys in terms of living well with dementia. There has been </w:t>
      </w:r>
      <w:r w:rsidR="00EB6B67" w:rsidRPr="00913267">
        <w:rPr>
          <w:sz w:val="24"/>
          <w:szCs w:val="24"/>
          <w:lang w:val="en-GB"/>
        </w:rPr>
        <w:t xml:space="preserve">an </w:t>
      </w:r>
      <w:r w:rsidRPr="00913267">
        <w:rPr>
          <w:sz w:val="24"/>
          <w:szCs w:val="24"/>
          <w:lang w:val="en-GB"/>
        </w:rPr>
        <w:t xml:space="preserve">increasing </w:t>
      </w:r>
      <w:r w:rsidR="00EB6B67" w:rsidRPr="00913267">
        <w:rPr>
          <w:sz w:val="24"/>
          <w:szCs w:val="24"/>
          <w:lang w:val="en-GB"/>
        </w:rPr>
        <w:t xml:space="preserve">focus on the </w:t>
      </w:r>
      <w:r w:rsidRPr="00913267">
        <w:rPr>
          <w:sz w:val="24"/>
          <w:szCs w:val="24"/>
          <w:lang w:val="en-GB"/>
        </w:rPr>
        <w:t>Dementia Diagnosis Rate,</w:t>
      </w:r>
      <w:r w:rsidR="00EB6B67" w:rsidRPr="00913267">
        <w:rPr>
          <w:sz w:val="24"/>
          <w:szCs w:val="24"/>
          <w:lang w:val="en-GB"/>
        </w:rPr>
        <w:t xml:space="preserve"> to enable</w:t>
      </w:r>
      <w:r w:rsidRPr="00913267">
        <w:rPr>
          <w:sz w:val="24"/>
          <w:szCs w:val="24"/>
          <w:lang w:val="en-GB"/>
        </w:rPr>
        <w:t xml:space="preserve"> easy access to care, support and advice following diagnosis. The intention is to increase </w:t>
      </w:r>
      <w:r w:rsidR="00EB6B67" w:rsidRPr="00913267">
        <w:rPr>
          <w:sz w:val="24"/>
          <w:szCs w:val="24"/>
          <w:lang w:val="en-GB"/>
        </w:rPr>
        <w:t>the level of diagnosis to ensure</w:t>
      </w:r>
      <w:r w:rsidRPr="00913267">
        <w:rPr>
          <w:sz w:val="24"/>
          <w:szCs w:val="24"/>
          <w:lang w:val="en-GB"/>
        </w:rPr>
        <w:t xml:space="preserve"> appropriate post diagnostic support for patients and </w:t>
      </w:r>
      <w:r w:rsidR="00EB6B67" w:rsidRPr="00913267">
        <w:rPr>
          <w:sz w:val="24"/>
          <w:szCs w:val="24"/>
          <w:lang w:val="en-GB"/>
        </w:rPr>
        <w:t xml:space="preserve">carers creating </w:t>
      </w:r>
      <w:r w:rsidRPr="00913267">
        <w:rPr>
          <w:sz w:val="24"/>
          <w:szCs w:val="24"/>
          <w:lang w:val="en-GB"/>
        </w:rPr>
        <w:t>a more Dementia friendly</w:t>
      </w:r>
      <w:r w:rsidR="00EB6B67" w:rsidRPr="00913267">
        <w:rPr>
          <w:sz w:val="24"/>
          <w:szCs w:val="24"/>
          <w:lang w:val="en-GB"/>
        </w:rPr>
        <w:t xml:space="preserve"> Borough</w:t>
      </w:r>
      <w:r w:rsidRPr="00913267">
        <w:rPr>
          <w:sz w:val="24"/>
          <w:szCs w:val="24"/>
          <w:lang w:val="en-GB"/>
        </w:rPr>
        <w:t>.</w:t>
      </w:r>
    </w:p>
    <w:p w:rsidR="00EB6B67" w:rsidRPr="00913267" w:rsidRDefault="00EB6B67" w:rsidP="00464025">
      <w:pPr>
        <w:spacing w:line="276" w:lineRule="auto"/>
        <w:jc w:val="both"/>
        <w:rPr>
          <w:sz w:val="24"/>
          <w:szCs w:val="24"/>
          <w:lang w:val="en-GB"/>
        </w:rPr>
      </w:pPr>
    </w:p>
    <w:p w:rsidR="009B65EA" w:rsidRPr="00913267" w:rsidRDefault="002E02DA" w:rsidP="00464025">
      <w:pPr>
        <w:spacing w:line="276" w:lineRule="auto"/>
        <w:jc w:val="both"/>
        <w:rPr>
          <w:sz w:val="24"/>
          <w:szCs w:val="24"/>
          <w:lang w:val="en-GB"/>
        </w:rPr>
      </w:pPr>
      <w:r w:rsidRPr="00913267">
        <w:rPr>
          <w:sz w:val="24"/>
          <w:szCs w:val="24"/>
          <w:lang w:val="en-GB"/>
        </w:rPr>
        <w:t xml:space="preserve">The percentage of people diagnosed with </w:t>
      </w:r>
      <w:r w:rsidR="009B65EA" w:rsidRPr="00913267">
        <w:rPr>
          <w:sz w:val="24"/>
          <w:szCs w:val="24"/>
          <w:lang w:val="en-GB"/>
        </w:rPr>
        <w:t>Dementia</w:t>
      </w:r>
      <w:r w:rsidRPr="00913267">
        <w:rPr>
          <w:sz w:val="24"/>
          <w:szCs w:val="24"/>
          <w:lang w:val="en-GB"/>
        </w:rPr>
        <w:t xml:space="preserve"> in relation to the prevalence of dementia in Harrow at August 2018 is 64%. Both the prevalence rate and the number of people being diagnosed have risen 14% since 2015</w:t>
      </w:r>
      <w:r w:rsidR="009B65EA" w:rsidRPr="00913267">
        <w:rPr>
          <w:sz w:val="24"/>
          <w:szCs w:val="24"/>
          <w:lang w:val="en-GB"/>
        </w:rPr>
        <w:t>.</w:t>
      </w:r>
    </w:p>
    <w:p w:rsidR="009B65EA" w:rsidRPr="00913267" w:rsidRDefault="009B65EA" w:rsidP="00464025">
      <w:pPr>
        <w:spacing w:line="276" w:lineRule="auto"/>
        <w:jc w:val="both"/>
        <w:rPr>
          <w:sz w:val="24"/>
          <w:szCs w:val="24"/>
          <w:lang w:val="en-GB"/>
        </w:rPr>
      </w:pPr>
      <w:r w:rsidRPr="00913267">
        <w:rPr>
          <w:sz w:val="24"/>
          <w:szCs w:val="24"/>
          <w:lang w:val="en-GB"/>
        </w:rPr>
        <w:tab/>
      </w:r>
    </w:p>
    <w:p w:rsidR="009B65EA" w:rsidRPr="00913267" w:rsidRDefault="009B65EA" w:rsidP="00464025">
      <w:pPr>
        <w:spacing w:line="276" w:lineRule="auto"/>
        <w:jc w:val="both"/>
        <w:rPr>
          <w:sz w:val="24"/>
          <w:szCs w:val="24"/>
          <w:lang w:val="en-GB"/>
        </w:rPr>
      </w:pPr>
    </w:p>
    <w:p w:rsidR="009B65EA" w:rsidRPr="00913267" w:rsidRDefault="003F63F6" w:rsidP="00464025">
      <w:pPr>
        <w:spacing w:line="276" w:lineRule="auto"/>
        <w:jc w:val="both"/>
        <w:rPr>
          <w:b/>
          <w:sz w:val="24"/>
          <w:szCs w:val="24"/>
          <w:lang w:val="en-GB"/>
        </w:rPr>
      </w:pPr>
      <w:r w:rsidRPr="00913267">
        <w:rPr>
          <w:b/>
          <w:sz w:val="24"/>
          <w:szCs w:val="24"/>
          <w:lang w:val="en-GB"/>
        </w:rPr>
        <w:t>STATUTORY AND NON-STATUTORY GUIDANCE</w:t>
      </w:r>
    </w:p>
    <w:p w:rsidR="000911E5" w:rsidRPr="00913267" w:rsidRDefault="000911E5" w:rsidP="00464025">
      <w:pPr>
        <w:spacing w:line="276" w:lineRule="auto"/>
        <w:jc w:val="both"/>
        <w:rPr>
          <w:sz w:val="24"/>
          <w:szCs w:val="24"/>
          <w:lang w:val="en-GB"/>
        </w:rPr>
      </w:pPr>
    </w:p>
    <w:p w:rsidR="000911E5" w:rsidRPr="00913267" w:rsidRDefault="000911E5" w:rsidP="00464025">
      <w:pPr>
        <w:spacing w:line="276" w:lineRule="auto"/>
        <w:jc w:val="both"/>
        <w:rPr>
          <w:sz w:val="24"/>
          <w:szCs w:val="24"/>
          <w:lang w:val="en-GB"/>
        </w:rPr>
      </w:pPr>
    </w:p>
    <w:p w:rsidR="003F63F6" w:rsidRPr="00913267" w:rsidRDefault="00CD735B" w:rsidP="00464025">
      <w:pPr>
        <w:adjustRightInd w:val="0"/>
        <w:jc w:val="both"/>
        <w:rPr>
          <w:iCs/>
          <w:sz w:val="24"/>
          <w:szCs w:val="24"/>
          <w:lang w:val="en-GB"/>
        </w:rPr>
      </w:pPr>
      <w:r w:rsidRPr="00913267">
        <w:rPr>
          <w:iCs/>
          <w:sz w:val="24"/>
          <w:szCs w:val="24"/>
          <w:lang w:val="en-GB"/>
        </w:rPr>
        <w:t>On the 20 June 2018 t</w:t>
      </w:r>
      <w:r w:rsidR="003F63F6" w:rsidRPr="00913267">
        <w:rPr>
          <w:iCs/>
          <w:sz w:val="24"/>
          <w:szCs w:val="24"/>
          <w:lang w:val="en-GB"/>
        </w:rPr>
        <w:t xml:space="preserve">he National Institute for Health </w:t>
      </w:r>
      <w:r w:rsidR="00912BD4" w:rsidRPr="00913267">
        <w:rPr>
          <w:iCs/>
          <w:sz w:val="24"/>
          <w:szCs w:val="24"/>
          <w:lang w:val="en-GB"/>
        </w:rPr>
        <w:t>and Clinical Excellence published ‘Nice Gui</w:t>
      </w:r>
      <w:r w:rsidRPr="00913267">
        <w:rPr>
          <w:iCs/>
          <w:sz w:val="24"/>
          <w:szCs w:val="24"/>
          <w:lang w:val="en-GB"/>
        </w:rPr>
        <w:t>delines for Dementia focusing on; assessment, management and support for people living with dementia and their carers.</w:t>
      </w:r>
      <w:r w:rsidR="003F63F6" w:rsidRPr="00913267">
        <w:rPr>
          <w:iCs/>
          <w:sz w:val="24"/>
          <w:szCs w:val="24"/>
          <w:lang w:val="en-GB"/>
        </w:rPr>
        <w:t xml:space="preserve"> </w:t>
      </w:r>
    </w:p>
    <w:p w:rsidR="003F63F6" w:rsidRPr="00913267" w:rsidRDefault="003F63F6" w:rsidP="00464025">
      <w:pPr>
        <w:adjustRightInd w:val="0"/>
        <w:spacing w:line="276" w:lineRule="auto"/>
        <w:jc w:val="both"/>
        <w:rPr>
          <w:iCs/>
          <w:sz w:val="24"/>
          <w:szCs w:val="24"/>
          <w:lang w:val="en-GB"/>
        </w:rPr>
      </w:pPr>
    </w:p>
    <w:p w:rsidR="003F63F6" w:rsidRPr="00913267" w:rsidRDefault="003F63F6" w:rsidP="00464025">
      <w:pPr>
        <w:adjustRightInd w:val="0"/>
        <w:jc w:val="both"/>
        <w:rPr>
          <w:sz w:val="24"/>
          <w:szCs w:val="24"/>
          <w:lang w:val="en-GB"/>
        </w:rPr>
      </w:pPr>
      <w:r w:rsidRPr="00913267">
        <w:rPr>
          <w:sz w:val="24"/>
          <w:szCs w:val="24"/>
          <w:lang w:val="en-GB"/>
        </w:rPr>
        <w:t>The guideline complements existing legislation and guidance</w:t>
      </w:r>
      <w:r w:rsidR="006C61E1" w:rsidRPr="00913267">
        <w:rPr>
          <w:sz w:val="24"/>
          <w:szCs w:val="24"/>
          <w:lang w:val="en-GB"/>
        </w:rPr>
        <w:t xml:space="preserve"> and aims to </w:t>
      </w:r>
      <w:proofErr w:type="gramStart"/>
      <w:r w:rsidRPr="00913267">
        <w:rPr>
          <w:sz w:val="24"/>
          <w:szCs w:val="24"/>
          <w:lang w:val="en-GB"/>
        </w:rPr>
        <w:t>describes</w:t>
      </w:r>
      <w:proofErr w:type="gramEnd"/>
      <w:r w:rsidRPr="00913267">
        <w:rPr>
          <w:sz w:val="24"/>
          <w:szCs w:val="24"/>
          <w:lang w:val="en-GB"/>
        </w:rPr>
        <w:t xml:space="preserve"> how services and professionals can provide high-quality care and support.</w:t>
      </w:r>
    </w:p>
    <w:p w:rsidR="003F63F6" w:rsidRPr="00913267" w:rsidRDefault="003F63F6" w:rsidP="00464025">
      <w:pPr>
        <w:adjustRightInd w:val="0"/>
        <w:spacing w:line="276" w:lineRule="auto"/>
        <w:jc w:val="both"/>
        <w:rPr>
          <w:sz w:val="24"/>
          <w:szCs w:val="24"/>
          <w:lang w:val="en-GB"/>
        </w:rPr>
      </w:pPr>
    </w:p>
    <w:p w:rsidR="003F63F6" w:rsidRPr="00913267" w:rsidRDefault="003F63F6" w:rsidP="00464025">
      <w:pPr>
        <w:adjustRightInd w:val="0"/>
        <w:jc w:val="both"/>
        <w:rPr>
          <w:sz w:val="24"/>
          <w:szCs w:val="24"/>
          <w:lang w:val="en-GB"/>
        </w:rPr>
      </w:pPr>
      <w:r w:rsidRPr="00913267">
        <w:rPr>
          <w:sz w:val="24"/>
          <w:szCs w:val="24"/>
          <w:lang w:val="en-GB"/>
        </w:rPr>
        <w:t>The Prime Minister's Challenge on Dementia 2020 sets out the UK Government's strategy for transforming dementia care within the UK. The aims of the strategy include:</w:t>
      </w:r>
    </w:p>
    <w:p w:rsidR="003F63F6" w:rsidRPr="00913267" w:rsidRDefault="003F63F6" w:rsidP="00464025">
      <w:pPr>
        <w:adjustRightInd w:val="0"/>
        <w:spacing w:line="276" w:lineRule="auto"/>
        <w:jc w:val="both"/>
        <w:rPr>
          <w:sz w:val="24"/>
          <w:szCs w:val="24"/>
          <w:lang w:val="en-GB"/>
        </w:rPr>
      </w:pPr>
    </w:p>
    <w:p w:rsidR="003F63F6" w:rsidRPr="00913267" w:rsidRDefault="003F63F6" w:rsidP="00464025">
      <w:pPr>
        <w:pStyle w:val="ListParagraph"/>
        <w:widowControl/>
        <w:numPr>
          <w:ilvl w:val="0"/>
          <w:numId w:val="35"/>
        </w:numPr>
        <w:adjustRightInd w:val="0"/>
        <w:spacing w:line="276" w:lineRule="auto"/>
        <w:ind w:left="284" w:firstLine="0"/>
        <w:contextualSpacing/>
        <w:jc w:val="both"/>
        <w:rPr>
          <w:sz w:val="24"/>
          <w:szCs w:val="24"/>
          <w:lang w:val="en-GB"/>
        </w:rPr>
      </w:pPr>
      <w:r w:rsidRPr="00913267">
        <w:rPr>
          <w:sz w:val="24"/>
          <w:szCs w:val="24"/>
          <w:lang w:val="en-GB"/>
        </w:rPr>
        <w:t>improving diagnosis, assessment and care for people living with dementia</w:t>
      </w:r>
    </w:p>
    <w:p w:rsidR="003F63F6" w:rsidRPr="00913267" w:rsidRDefault="003F63F6" w:rsidP="00464025">
      <w:pPr>
        <w:pStyle w:val="ListParagraph"/>
        <w:widowControl/>
        <w:numPr>
          <w:ilvl w:val="0"/>
          <w:numId w:val="35"/>
        </w:numPr>
        <w:adjustRightInd w:val="0"/>
        <w:spacing w:line="276" w:lineRule="auto"/>
        <w:ind w:left="284" w:firstLine="0"/>
        <w:contextualSpacing/>
        <w:jc w:val="both"/>
        <w:rPr>
          <w:sz w:val="24"/>
          <w:szCs w:val="24"/>
          <w:lang w:val="en-GB"/>
        </w:rPr>
      </w:pPr>
      <w:r w:rsidRPr="00913267">
        <w:rPr>
          <w:sz w:val="24"/>
          <w:szCs w:val="24"/>
          <w:lang w:val="en-GB"/>
        </w:rPr>
        <w:t>ensuring that all people living with dementia have equal access to diagnosis</w:t>
      </w:r>
    </w:p>
    <w:p w:rsidR="003F63F6" w:rsidRPr="00913267" w:rsidRDefault="003F63F6" w:rsidP="00464025">
      <w:pPr>
        <w:pStyle w:val="ListParagraph"/>
        <w:widowControl/>
        <w:numPr>
          <w:ilvl w:val="0"/>
          <w:numId w:val="35"/>
        </w:numPr>
        <w:adjustRightInd w:val="0"/>
        <w:spacing w:line="276" w:lineRule="auto"/>
        <w:ind w:left="284" w:firstLine="0"/>
        <w:contextualSpacing/>
        <w:jc w:val="both"/>
        <w:rPr>
          <w:sz w:val="24"/>
          <w:szCs w:val="24"/>
          <w:lang w:val="en-GB"/>
        </w:rPr>
      </w:pPr>
      <w:r w:rsidRPr="00913267">
        <w:rPr>
          <w:sz w:val="24"/>
          <w:szCs w:val="24"/>
          <w:lang w:val="en-GB"/>
        </w:rPr>
        <w:t>providing all NHS staff with training on dementia appropriate to their role</w:t>
      </w:r>
    </w:p>
    <w:p w:rsidR="003F63F6" w:rsidRPr="00913267" w:rsidRDefault="003F63F6" w:rsidP="00464025">
      <w:pPr>
        <w:pStyle w:val="ListParagraph"/>
        <w:widowControl/>
        <w:numPr>
          <w:ilvl w:val="0"/>
          <w:numId w:val="35"/>
        </w:numPr>
        <w:adjustRightInd w:val="0"/>
        <w:spacing w:line="276" w:lineRule="auto"/>
        <w:ind w:left="284" w:firstLine="0"/>
        <w:contextualSpacing/>
        <w:jc w:val="both"/>
        <w:rPr>
          <w:sz w:val="24"/>
          <w:szCs w:val="24"/>
          <w:lang w:val="en-GB"/>
        </w:rPr>
      </w:pPr>
      <w:proofErr w:type="gramStart"/>
      <w:r w:rsidRPr="00913267">
        <w:rPr>
          <w:sz w:val="24"/>
          <w:szCs w:val="24"/>
          <w:lang w:val="en-GB"/>
        </w:rPr>
        <w:t>ensuring</w:t>
      </w:r>
      <w:proofErr w:type="gramEnd"/>
      <w:r w:rsidRPr="00913267">
        <w:rPr>
          <w:sz w:val="24"/>
          <w:szCs w:val="24"/>
          <w:lang w:val="en-GB"/>
        </w:rPr>
        <w:t xml:space="preserve"> that every person diagnosed with dementia receives meaningful care.</w:t>
      </w:r>
    </w:p>
    <w:p w:rsidR="003F63F6" w:rsidRPr="00913267" w:rsidRDefault="003F63F6" w:rsidP="00464025">
      <w:pPr>
        <w:adjustRightInd w:val="0"/>
        <w:spacing w:line="276" w:lineRule="auto"/>
        <w:jc w:val="both"/>
        <w:rPr>
          <w:sz w:val="24"/>
          <w:szCs w:val="24"/>
          <w:lang w:val="en-GB"/>
        </w:rPr>
      </w:pPr>
    </w:p>
    <w:p w:rsidR="003F63F6" w:rsidRPr="00913267" w:rsidRDefault="003F63F6" w:rsidP="00464025">
      <w:pPr>
        <w:adjustRightInd w:val="0"/>
        <w:jc w:val="both"/>
        <w:rPr>
          <w:sz w:val="24"/>
          <w:szCs w:val="24"/>
          <w:lang w:val="en-GB"/>
        </w:rPr>
      </w:pPr>
      <w:r w:rsidRPr="00913267">
        <w:rPr>
          <w:sz w:val="24"/>
          <w:szCs w:val="24"/>
          <w:lang w:val="en-GB"/>
        </w:rPr>
        <w:t>Since the 2006 NICE guideline on dementia was developed, key new legislation has been implemented. The Care Act 2014 created a new legislative framework for adult social care, and also gives carers a legal right to assessment and support.</w:t>
      </w:r>
    </w:p>
    <w:p w:rsidR="003F63F6" w:rsidRDefault="003F63F6" w:rsidP="00464025">
      <w:pPr>
        <w:adjustRightInd w:val="0"/>
        <w:spacing w:line="276" w:lineRule="auto"/>
        <w:jc w:val="both"/>
        <w:rPr>
          <w:sz w:val="24"/>
          <w:szCs w:val="24"/>
          <w:lang w:val="en-GB"/>
        </w:rPr>
      </w:pPr>
    </w:p>
    <w:p w:rsidR="00F94833" w:rsidRPr="00913267" w:rsidRDefault="00F94833" w:rsidP="00464025">
      <w:pPr>
        <w:adjustRightInd w:val="0"/>
        <w:spacing w:line="276" w:lineRule="auto"/>
        <w:jc w:val="both"/>
        <w:rPr>
          <w:sz w:val="24"/>
          <w:szCs w:val="24"/>
          <w:lang w:val="en-GB"/>
        </w:rPr>
      </w:pPr>
    </w:p>
    <w:p w:rsidR="003F63F6" w:rsidRPr="00F94833" w:rsidRDefault="003F63F6" w:rsidP="00464025">
      <w:pPr>
        <w:adjustRightInd w:val="0"/>
        <w:jc w:val="both"/>
        <w:rPr>
          <w:sz w:val="24"/>
          <w:szCs w:val="24"/>
          <w:u w:val="single"/>
          <w:lang w:val="en-GB"/>
        </w:rPr>
      </w:pPr>
      <w:r w:rsidRPr="00F94833">
        <w:rPr>
          <w:sz w:val="24"/>
          <w:szCs w:val="24"/>
          <w:u w:val="single"/>
          <w:lang w:val="en-GB"/>
        </w:rPr>
        <w:t>Relevant legislation and statutory guidance</w:t>
      </w:r>
    </w:p>
    <w:p w:rsidR="003F63F6" w:rsidRPr="00913267" w:rsidRDefault="003F63F6" w:rsidP="00464025">
      <w:pPr>
        <w:adjustRightInd w:val="0"/>
        <w:spacing w:line="276" w:lineRule="auto"/>
        <w:jc w:val="both"/>
        <w:rPr>
          <w:sz w:val="24"/>
          <w:szCs w:val="24"/>
          <w:lang w:val="en-GB"/>
        </w:rPr>
      </w:pP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 xml:space="preserve">NHS England (2015) Accessible Information Standard </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Care Act 2014</w:t>
      </w:r>
    </w:p>
    <w:p w:rsidR="00464025"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Health and Social Care Act 2008 (Regulated Activities) Regulations 2014</w:t>
      </w:r>
    </w:p>
    <w:p w:rsidR="003F63F6" w:rsidRPr="00913267" w:rsidRDefault="003F63F6" w:rsidP="00464025">
      <w:pPr>
        <w:pStyle w:val="ListParagraph"/>
        <w:widowControl/>
        <w:numPr>
          <w:ilvl w:val="0"/>
          <w:numId w:val="36"/>
        </w:numPr>
        <w:adjustRightInd w:val="0"/>
        <w:spacing w:line="276" w:lineRule="auto"/>
        <w:ind w:left="709" w:hanging="425"/>
        <w:contextualSpacing/>
        <w:jc w:val="both"/>
        <w:rPr>
          <w:sz w:val="24"/>
          <w:szCs w:val="24"/>
          <w:lang w:val="en-GB"/>
        </w:rPr>
      </w:pPr>
      <w:r w:rsidRPr="00913267">
        <w:rPr>
          <w:sz w:val="24"/>
          <w:szCs w:val="24"/>
          <w:lang w:val="en-GB"/>
        </w:rPr>
        <w:t>Department of Health (2014) Care Act 2014: Statutory Guidance for Implementation</w:t>
      </w:r>
    </w:p>
    <w:p w:rsidR="003F63F6" w:rsidRPr="00913267" w:rsidRDefault="003F63F6" w:rsidP="00464025">
      <w:pPr>
        <w:pStyle w:val="ListParagraph"/>
        <w:widowControl/>
        <w:numPr>
          <w:ilvl w:val="0"/>
          <w:numId w:val="36"/>
        </w:numPr>
        <w:adjustRightInd w:val="0"/>
        <w:spacing w:line="276" w:lineRule="auto"/>
        <w:ind w:left="709" w:hanging="425"/>
        <w:contextualSpacing/>
        <w:jc w:val="both"/>
        <w:rPr>
          <w:sz w:val="24"/>
          <w:szCs w:val="24"/>
          <w:lang w:val="en-GB"/>
        </w:rPr>
      </w:pPr>
      <w:r w:rsidRPr="00913267">
        <w:rPr>
          <w:sz w:val="24"/>
          <w:szCs w:val="24"/>
          <w:lang w:val="en-GB"/>
        </w:rPr>
        <w:t>Department of Health (2014) Positive and Proactive Care: Reducing the need for restrictive</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Interventions</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Health and Social Care Act 2012</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Equality Act 2010</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Mental Capacity Act 2005</w:t>
      </w:r>
    </w:p>
    <w:p w:rsidR="003F63F6" w:rsidRPr="00913267" w:rsidRDefault="003F63F6" w:rsidP="00464025">
      <w:pPr>
        <w:pStyle w:val="ListParagraph"/>
        <w:widowControl/>
        <w:numPr>
          <w:ilvl w:val="0"/>
          <w:numId w:val="36"/>
        </w:numPr>
        <w:adjustRightInd w:val="0"/>
        <w:spacing w:line="276" w:lineRule="auto"/>
        <w:ind w:left="284" w:firstLine="0"/>
        <w:contextualSpacing/>
        <w:jc w:val="both"/>
        <w:rPr>
          <w:sz w:val="24"/>
          <w:szCs w:val="24"/>
          <w:lang w:val="en-GB"/>
        </w:rPr>
      </w:pPr>
      <w:r w:rsidRPr="00913267">
        <w:rPr>
          <w:sz w:val="24"/>
          <w:szCs w:val="24"/>
          <w:lang w:val="en-GB"/>
        </w:rPr>
        <w:t>Human Rights Act 1998</w:t>
      </w:r>
    </w:p>
    <w:p w:rsidR="003F63F6" w:rsidRPr="00913267" w:rsidRDefault="003F63F6" w:rsidP="00464025">
      <w:pPr>
        <w:adjustRightInd w:val="0"/>
        <w:spacing w:line="276" w:lineRule="auto"/>
        <w:jc w:val="both"/>
        <w:rPr>
          <w:sz w:val="24"/>
          <w:szCs w:val="24"/>
          <w:lang w:val="en-GB"/>
        </w:rPr>
      </w:pPr>
    </w:p>
    <w:p w:rsidR="003F63F6" w:rsidRPr="00F94833" w:rsidRDefault="003F63F6" w:rsidP="00464025">
      <w:pPr>
        <w:adjustRightInd w:val="0"/>
        <w:jc w:val="both"/>
        <w:rPr>
          <w:sz w:val="24"/>
          <w:szCs w:val="24"/>
          <w:u w:val="single"/>
          <w:lang w:val="en-GB"/>
        </w:rPr>
      </w:pPr>
      <w:r w:rsidRPr="00F94833">
        <w:rPr>
          <w:sz w:val="24"/>
          <w:szCs w:val="24"/>
          <w:u w:val="single"/>
          <w:lang w:val="en-GB"/>
        </w:rPr>
        <w:t>Relevant policies and non-statutory guidance</w:t>
      </w:r>
    </w:p>
    <w:p w:rsidR="003F63F6" w:rsidRPr="00913267" w:rsidRDefault="003F63F6" w:rsidP="00464025">
      <w:pPr>
        <w:adjustRightInd w:val="0"/>
        <w:spacing w:line="276" w:lineRule="auto"/>
        <w:jc w:val="both"/>
        <w:rPr>
          <w:sz w:val="24"/>
          <w:szCs w:val="24"/>
          <w:lang w:val="en-GB"/>
        </w:rPr>
      </w:pPr>
    </w:p>
    <w:p w:rsidR="003F63F6" w:rsidRPr="00913267" w:rsidRDefault="003F63F6" w:rsidP="004430E6">
      <w:pPr>
        <w:pStyle w:val="ListParagraph"/>
        <w:widowControl/>
        <w:numPr>
          <w:ilvl w:val="0"/>
          <w:numId w:val="38"/>
        </w:numPr>
        <w:adjustRightInd w:val="0"/>
        <w:spacing w:line="276" w:lineRule="auto"/>
        <w:ind w:left="709" w:hanging="425"/>
        <w:contextualSpacing/>
        <w:jc w:val="both"/>
        <w:rPr>
          <w:sz w:val="24"/>
          <w:szCs w:val="24"/>
          <w:lang w:val="en-GB"/>
        </w:rPr>
      </w:pPr>
      <w:r w:rsidRPr="00913267">
        <w:rPr>
          <w:sz w:val="24"/>
          <w:szCs w:val="24"/>
          <w:lang w:val="en-GB"/>
        </w:rPr>
        <w:t>Information Commissioner's Office (2017) Guide to the General Data Protection Regulation</w:t>
      </w:r>
    </w:p>
    <w:p w:rsidR="003F63F6" w:rsidRPr="00913267" w:rsidRDefault="003F63F6" w:rsidP="00464025">
      <w:pPr>
        <w:pStyle w:val="ListParagraph"/>
        <w:widowControl/>
        <w:numPr>
          <w:ilvl w:val="0"/>
          <w:numId w:val="38"/>
        </w:numPr>
        <w:adjustRightInd w:val="0"/>
        <w:spacing w:line="276" w:lineRule="auto"/>
        <w:ind w:left="284" w:firstLine="0"/>
        <w:contextualSpacing/>
        <w:jc w:val="both"/>
        <w:rPr>
          <w:sz w:val="24"/>
          <w:szCs w:val="24"/>
          <w:lang w:val="en-GB"/>
        </w:rPr>
      </w:pPr>
      <w:r w:rsidRPr="00913267">
        <w:rPr>
          <w:sz w:val="24"/>
          <w:szCs w:val="24"/>
          <w:lang w:val="en-GB"/>
        </w:rPr>
        <w:t>NHS England (2017) Dementia: Good Care Planning</w:t>
      </w:r>
    </w:p>
    <w:p w:rsidR="003F63F6" w:rsidRPr="00913267" w:rsidRDefault="003F63F6" w:rsidP="00464025">
      <w:pPr>
        <w:pStyle w:val="ListParagraph"/>
        <w:widowControl/>
        <w:numPr>
          <w:ilvl w:val="0"/>
          <w:numId w:val="38"/>
        </w:numPr>
        <w:adjustRightInd w:val="0"/>
        <w:spacing w:line="276" w:lineRule="auto"/>
        <w:ind w:left="284" w:firstLine="0"/>
        <w:contextualSpacing/>
        <w:jc w:val="both"/>
        <w:rPr>
          <w:sz w:val="24"/>
          <w:szCs w:val="24"/>
          <w:lang w:val="en-GB"/>
        </w:rPr>
      </w:pPr>
      <w:r w:rsidRPr="00913267">
        <w:rPr>
          <w:sz w:val="24"/>
          <w:szCs w:val="24"/>
          <w:lang w:val="en-GB"/>
        </w:rPr>
        <w:t>NHS England (2015) Implementation guide and resource pack for dementia care</w:t>
      </w:r>
    </w:p>
    <w:p w:rsidR="003F63F6" w:rsidRPr="00913267" w:rsidRDefault="003F63F6" w:rsidP="004430E6">
      <w:pPr>
        <w:pStyle w:val="ListParagraph"/>
        <w:widowControl/>
        <w:numPr>
          <w:ilvl w:val="0"/>
          <w:numId w:val="38"/>
        </w:numPr>
        <w:adjustRightInd w:val="0"/>
        <w:spacing w:line="276" w:lineRule="auto"/>
        <w:ind w:left="709" w:hanging="425"/>
        <w:contextualSpacing/>
        <w:jc w:val="both"/>
        <w:rPr>
          <w:sz w:val="24"/>
          <w:szCs w:val="24"/>
          <w:lang w:val="en-GB"/>
        </w:rPr>
      </w:pPr>
      <w:r w:rsidRPr="00913267">
        <w:rPr>
          <w:sz w:val="24"/>
          <w:szCs w:val="24"/>
          <w:lang w:val="en-GB"/>
        </w:rPr>
        <w:t>Skills for Health, Health Education England and Skills for Care (2015) Dementia Core Skills Education and Training Framework. This framework was commissioned and funded by the Department of Health and developed in collaboration by Skills for Health and Health Education England in partnership with Skills for Care</w:t>
      </w:r>
    </w:p>
    <w:p w:rsidR="003F63F6" w:rsidRPr="00913267" w:rsidRDefault="003F63F6" w:rsidP="00464025">
      <w:pPr>
        <w:pStyle w:val="ListParagraph"/>
        <w:widowControl/>
        <w:numPr>
          <w:ilvl w:val="0"/>
          <w:numId w:val="38"/>
        </w:numPr>
        <w:adjustRightInd w:val="0"/>
        <w:spacing w:line="276" w:lineRule="auto"/>
        <w:ind w:left="284" w:firstLine="0"/>
        <w:contextualSpacing/>
        <w:jc w:val="both"/>
        <w:rPr>
          <w:sz w:val="24"/>
          <w:szCs w:val="24"/>
          <w:lang w:val="en-GB"/>
        </w:rPr>
      </w:pPr>
      <w:r w:rsidRPr="00913267">
        <w:rPr>
          <w:sz w:val="24"/>
          <w:szCs w:val="24"/>
          <w:lang w:val="en-GB"/>
        </w:rPr>
        <w:t>Department of Health (2014) NHS Outcomes Framework 2015 to 2016</w:t>
      </w:r>
    </w:p>
    <w:p w:rsidR="003F63F6" w:rsidRPr="00913267" w:rsidRDefault="003F63F6" w:rsidP="004430E6">
      <w:pPr>
        <w:pStyle w:val="ListParagraph"/>
        <w:widowControl/>
        <w:numPr>
          <w:ilvl w:val="0"/>
          <w:numId w:val="38"/>
        </w:numPr>
        <w:autoSpaceDE/>
        <w:autoSpaceDN/>
        <w:spacing w:line="276" w:lineRule="auto"/>
        <w:ind w:left="709" w:hanging="425"/>
        <w:contextualSpacing/>
        <w:jc w:val="both"/>
        <w:rPr>
          <w:sz w:val="24"/>
          <w:szCs w:val="24"/>
          <w:lang w:val="en-GB"/>
        </w:rPr>
      </w:pPr>
      <w:r w:rsidRPr="00913267">
        <w:rPr>
          <w:sz w:val="24"/>
          <w:szCs w:val="24"/>
          <w:lang w:val="en-GB"/>
        </w:rPr>
        <w:t>Department of Health (2014) Adult Social Care Outcomes Framework 2015 to 2016</w:t>
      </w:r>
    </w:p>
    <w:p w:rsidR="000911E5" w:rsidRPr="00913267" w:rsidRDefault="000911E5" w:rsidP="00464025">
      <w:pPr>
        <w:spacing w:line="276" w:lineRule="auto"/>
        <w:ind w:left="284"/>
        <w:jc w:val="both"/>
        <w:rPr>
          <w:sz w:val="24"/>
          <w:szCs w:val="24"/>
          <w:lang w:val="en-GB"/>
        </w:rPr>
      </w:pPr>
    </w:p>
    <w:p w:rsidR="000911E5" w:rsidRPr="00913267" w:rsidRDefault="000911E5" w:rsidP="00464025">
      <w:pPr>
        <w:spacing w:line="276" w:lineRule="auto"/>
        <w:jc w:val="both"/>
        <w:rPr>
          <w:sz w:val="24"/>
          <w:szCs w:val="24"/>
          <w:lang w:val="en-GB"/>
        </w:rPr>
      </w:pPr>
    </w:p>
    <w:p w:rsidR="000911E5" w:rsidRPr="00913267" w:rsidRDefault="003F63F6" w:rsidP="00464025">
      <w:pPr>
        <w:spacing w:line="276" w:lineRule="auto"/>
        <w:jc w:val="both"/>
        <w:rPr>
          <w:b/>
          <w:sz w:val="24"/>
          <w:szCs w:val="24"/>
          <w:lang w:val="en-GB"/>
        </w:rPr>
      </w:pPr>
      <w:r w:rsidRPr="00913267">
        <w:rPr>
          <w:b/>
          <w:sz w:val="24"/>
          <w:szCs w:val="24"/>
          <w:lang w:val="en-GB"/>
        </w:rPr>
        <w:t>UNDERSTANDING THE CHALLENGE</w:t>
      </w:r>
    </w:p>
    <w:p w:rsidR="0004471E" w:rsidRPr="00913267" w:rsidRDefault="002A45BE" w:rsidP="00464025">
      <w:pPr>
        <w:pStyle w:val="ListParagraph"/>
        <w:tabs>
          <w:tab w:val="left" w:pos="911"/>
          <w:tab w:val="left" w:pos="912"/>
        </w:tabs>
        <w:spacing w:line="276" w:lineRule="auto"/>
        <w:ind w:left="0" w:right="1270" w:firstLine="0"/>
        <w:rPr>
          <w:sz w:val="24"/>
          <w:szCs w:val="24"/>
          <w:lang w:val="en-GB"/>
        </w:rPr>
      </w:pPr>
      <w:r w:rsidRPr="00913267">
        <w:rPr>
          <w:sz w:val="24"/>
          <w:szCs w:val="24"/>
          <w:lang w:val="en-GB"/>
        </w:rPr>
        <w:t xml:space="preserve">             </w:t>
      </w:r>
      <w:r w:rsidR="00C458CF" w:rsidRPr="00913267">
        <w:rPr>
          <w:sz w:val="24"/>
          <w:szCs w:val="24"/>
          <w:lang w:val="en-GB"/>
        </w:rPr>
        <w:t xml:space="preserve">                              </w:t>
      </w:r>
      <w:bookmarkStart w:id="1" w:name="_TOC_250010"/>
      <w:bookmarkEnd w:id="1"/>
    </w:p>
    <w:p w:rsidR="0004471E" w:rsidRPr="00913267" w:rsidRDefault="0004471E" w:rsidP="00464025">
      <w:pPr>
        <w:widowControl/>
        <w:adjustRightInd w:val="0"/>
        <w:spacing w:line="276" w:lineRule="auto"/>
        <w:jc w:val="both"/>
        <w:rPr>
          <w:rFonts w:eastAsiaTheme="minorHAnsi"/>
          <w:sz w:val="24"/>
          <w:szCs w:val="24"/>
          <w:lang w:val="en-GB"/>
        </w:rPr>
      </w:pPr>
      <w:r w:rsidRPr="00913267">
        <w:rPr>
          <w:rFonts w:eastAsiaTheme="minorHAnsi"/>
          <w:sz w:val="24"/>
          <w:szCs w:val="24"/>
          <w:lang w:val="en-GB"/>
        </w:rPr>
        <w:t>Dementia is a growing challenge. As the population ages and people live for longer, it has become one of the most important health and care issues facing the world. In England</w:t>
      </w:r>
      <w:r w:rsidR="00464025" w:rsidRPr="00913267">
        <w:rPr>
          <w:rFonts w:eastAsiaTheme="minorHAnsi"/>
          <w:sz w:val="24"/>
          <w:szCs w:val="24"/>
          <w:lang w:val="en-GB"/>
        </w:rPr>
        <w:t xml:space="preserve"> it is estimated that around 650</w:t>
      </w:r>
      <w:r w:rsidRPr="00913267">
        <w:rPr>
          <w:rFonts w:eastAsiaTheme="minorHAnsi"/>
          <w:sz w:val="24"/>
          <w:szCs w:val="24"/>
          <w:lang w:val="en-GB"/>
        </w:rPr>
        <w:t>,000 people have dementia. In the whole of the UK, the number of peop</w:t>
      </w:r>
      <w:r w:rsidR="00464025" w:rsidRPr="00913267">
        <w:rPr>
          <w:rFonts w:eastAsiaTheme="minorHAnsi"/>
          <w:sz w:val="24"/>
          <w:szCs w:val="24"/>
          <w:lang w:val="en-GB"/>
        </w:rPr>
        <w:t>le with dementia is estimated as</w:t>
      </w:r>
      <w:r w:rsidRPr="00913267">
        <w:rPr>
          <w:rFonts w:eastAsiaTheme="minorHAnsi"/>
          <w:sz w:val="24"/>
          <w:szCs w:val="24"/>
          <w:lang w:val="en-GB"/>
        </w:rPr>
        <w:t xml:space="preserve"> 850,000. </w:t>
      </w:r>
    </w:p>
    <w:p w:rsidR="00464025" w:rsidRPr="00913267" w:rsidRDefault="00464025" w:rsidP="00464025">
      <w:pPr>
        <w:widowControl/>
        <w:adjustRightInd w:val="0"/>
        <w:spacing w:line="276" w:lineRule="auto"/>
        <w:jc w:val="both"/>
        <w:rPr>
          <w:rFonts w:eastAsiaTheme="minorHAnsi"/>
          <w:sz w:val="24"/>
          <w:szCs w:val="24"/>
          <w:lang w:val="en-GB"/>
        </w:rPr>
      </w:pPr>
    </w:p>
    <w:p w:rsidR="0004471E" w:rsidRPr="00913267" w:rsidRDefault="0004471E" w:rsidP="00464025">
      <w:pPr>
        <w:widowControl/>
        <w:adjustRightInd w:val="0"/>
        <w:spacing w:line="276" w:lineRule="auto"/>
        <w:jc w:val="both"/>
        <w:rPr>
          <w:rFonts w:eastAsiaTheme="minorHAnsi"/>
          <w:sz w:val="24"/>
          <w:szCs w:val="24"/>
          <w:lang w:val="en-GB"/>
        </w:rPr>
      </w:pPr>
      <w:r w:rsidRPr="00913267">
        <w:rPr>
          <w:rFonts w:eastAsiaTheme="minorHAnsi"/>
          <w:sz w:val="24"/>
          <w:szCs w:val="24"/>
          <w:lang w:val="en-GB"/>
        </w:rPr>
        <w:t xml:space="preserve">Dementia mainly affects older people, and after the age of 65, the likelihood of developing dementia roughly doubles every five years. </w:t>
      </w:r>
    </w:p>
    <w:p w:rsidR="0004471E" w:rsidRPr="00913267" w:rsidRDefault="0004471E" w:rsidP="00464025">
      <w:pPr>
        <w:widowControl/>
        <w:adjustRightInd w:val="0"/>
        <w:spacing w:line="276" w:lineRule="auto"/>
        <w:jc w:val="both"/>
        <w:rPr>
          <w:rFonts w:eastAsiaTheme="minorHAnsi"/>
          <w:sz w:val="24"/>
          <w:szCs w:val="24"/>
          <w:lang w:val="en-GB"/>
        </w:rPr>
      </w:pPr>
    </w:p>
    <w:p w:rsidR="0004471E" w:rsidRPr="00913267" w:rsidRDefault="0004471E" w:rsidP="00464025">
      <w:pPr>
        <w:widowControl/>
        <w:adjustRightInd w:val="0"/>
        <w:spacing w:line="276" w:lineRule="auto"/>
        <w:jc w:val="both"/>
        <w:rPr>
          <w:rFonts w:eastAsiaTheme="minorHAnsi"/>
          <w:color w:val="000000"/>
          <w:sz w:val="24"/>
          <w:szCs w:val="24"/>
          <w:lang w:val="en-GB"/>
        </w:rPr>
      </w:pPr>
      <w:r w:rsidRPr="00913267">
        <w:rPr>
          <w:rFonts w:eastAsiaTheme="minorHAnsi"/>
          <w:sz w:val="24"/>
          <w:szCs w:val="24"/>
          <w:lang w:val="en-GB"/>
        </w:rPr>
        <w:t xml:space="preserve">However, for some dementia can develop earlier, presenting different issues for the person </w:t>
      </w:r>
      <w:r w:rsidR="00464025" w:rsidRPr="00913267">
        <w:rPr>
          <w:rFonts w:eastAsiaTheme="minorHAnsi"/>
          <w:sz w:val="24"/>
          <w:szCs w:val="24"/>
          <w:lang w:val="en-GB"/>
        </w:rPr>
        <w:t>affected</w:t>
      </w:r>
      <w:r w:rsidRPr="00913267">
        <w:rPr>
          <w:rFonts w:eastAsiaTheme="minorHAnsi"/>
          <w:sz w:val="24"/>
          <w:szCs w:val="24"/>
          <w:lang w:val="en-GB"/>
        </w:rPr>
        <w:t xml:space="preserve"> their carer and their family.  There are around 540,000 carers of people with dementia in England. It is estimated that one in three people will care fo</w:t>
      </w:r>
      <w:r w:rsidRPr="00913267">
        <w:rPr>
          <w:rFonts w:eastAsiaTheme="minorHAnsi"/>
          <w:color w:val="000000"/>
          <w:sz w:val="24"/>
          <w:szCs w:val="24"/>
          <w:lang w:val="en-GB"/>
        </w:rPr>
        <w:t xml:space="preserve">r a person with dementia in their lifetime. Half of them are employed and it’s thought that some 66,000 people have already cut their working hours to care for a family member, whilst 50,000 people have left work altogether. </w:t>
      </w:r>
    </w:p>
    <w:p w:rsidR="0004471E" w:rsidRPr="00913267" w:rsidRDefault="0004471E" w:rsidP="00464025">
      <w:pPr>
        <w:pStyle w:val="BodyText"/>
        <w:spacing w:line="276" w:lineRule="auto"/>
        <w:jc w:val="both"/>
        <w:rPr>
          <w:rFonts w:eastAsiaTheme="minorHAnsi"/>
          <w:color w:val="000000"/>
          <w:lang w:val="en-GB"/>
        </w:rPr>
      </w:pPr>
    </w:p>
    <w:p w:rsidR="0004471E" w:rsidRPr="00913267" w:rsidRDefault="0004471E" w:rsidP="00464025">
      <w:pPr>
        <w:pStyle w:val="BodyText"/>
        <w:spacing w:line="276" w:lineRule="auto"/>
        <w:jc w:val="both"/>
        <w:rPr>
          <w:lang w:val="en-GB"/>
        </w:rPr>
      </w:pPr>
      <w:r w:rsidRPr="00913267">
        <w:rPr>
          <w:rFonts w:eastAsiaTheme="minorHAnsi"/>
          <w:color w:val="000000"/>
          <w:lang w:val="en-GB"/>
        </w:rPr>
        <w:t>There is a considerable economic cost associated with the disease estimated at £23 billion a year, which is predicted to triple by 2040. This is more than the cost of cancer, heart disease and stroke.</w:t>
      </w:r>
    </w:p>
    <w:p w:rsidR="0004471E" w:rsidRPr="00913267" w:rsidRDefault="0004471E" w:rsidP="00464025">
      <w:pPr>
        <w:pStyle w:val="BodyText"/>
        <w:spacing w:line="276" w:lineRule="auto"/>
        <w:rPr>
          <w:lang w:val="en-GB"/>
        </w:rPr>
      </w:pPr>
    </w:p>
    <w:p w:rsidR="00F445A5" w:rsidRPr="00913267" w:rsidRDefault="00464025" w:rsidP="004430E6">
      <w:pPr>
        <w:pStyle w:val="Heading1"/>
        <w:spacing w:line="276" w:lineRule="auto"/>
        <w:ind w:left="0"/>
        <w:jc w:val="both"/>
        <w:rPr>
          <w:b w:val="0"/>
          <w:u w:val="single"/>
          <w:lang w:val="en-GB"/>
        </w:rPr>
      </w:pPr>
      <w:bookmarkStart w:id="2" w:name="_TOC_250009"/>
      <w:bookmarkEnd w:id="2"/>
      <w:r w:rsidRPr="00913267">
        <w:rPr>
          <w:b w:val="0"/>
          <w:u w:val="single"/>
          <w:lang w:val="en-GB"/>
        </w:rPr>
        <w:t>What is dementia?</w:t>
      </w:r>
    </w:p>
    <w:p w:rsidR="00F445A5" w:rsidRPr="00913267" w:rsidRDefault="00F445A5" w:rsidP="00464025">
      <w:pPr>
        <w:pStyle w:val="BodyText"/>
        <w:spacing w:line="276" w:lineRule="auto"/>
        <w:jc w:val="both"/>
        <w:rPr>
          <w:b/>
          <w:lang w:val="en-GB"/>
        </w:rPr>
      </w:pPr>
    </w:p>
    <w:p w:rsidR="00F445A5" w:rsidRPr="00913267" w:rsidRDefault="00216872" w:rsidP="00464025">
      <w:pPr>
        <w:pStyle w:val="BodyText"/>
        <w:spacing w:line="276" w:lineRule="auto"/>
        <w:jc w:val="both"/>
        <w:rPr>
          <w:lang w:val="en-GB"/>
        </w:rPr>
      </w:pPr>
      <w:r w:rsidRPr="00913267">
        <w:rPr>
          <w:lang w:val="en-GB"/>
        </w:rPr>
        <w:t>Dementia can be described a brain disease  which often starts with memory problems, but goes on to affect many other parts of the brain, producing:</w:t>
      </w:r>
    </w:p>
    <w:p w:rsidR="009E2721" w:rsidRPr="00913267" w:rsidRDefault="009E2721" w:rsidP="00464025">
      <w:pPr>
        <w:pStyle w:val="BodyText"/>
        <w:spacing w:line="276" w:lineRule="auto"/>
        <w:jc w:val="both"/>
        <w:rPr>
          <w:lang w:val="en-GB"/>
        </w:rPr>
      </w:pPr>
    </w:p>
    <w:p w:rsidR="00F445A5" w:rsidRPr="00913267" w:rsidRDefault="0020210F" w:rsidP="004430E6">
      <w:pPr>
        <w:pStyle w:val="ListParagraph"/>
        <w:numPr>
          <w:ilvl w:val="0"/>
          <w:numId w:val="24"/>
        </w:numPr>
        <w:spacing w:line="276" w:lineRule="auto"/>
        <w:ind w:left="709" w:hanging="425"/>
        <w:jc w:val="both"/>
        <w:rPr>
          <w:rFonts w:ascii="Symbol"/>
          <w:sz w:val="24"/>
          <w:szCs w:val="24"/>
          <w:lang w:val="en-GB"/>
        </w:rPr>
      </w:pPr>
      <w:r w:rsidRPr="00913267">
        <w:rPr>
          <w:sz w:val="24"/>
          <w:szCs w:val="24"/>
          <w:lang w:val="en-GB"/>
        </w:rPr>
        <w:t>M</w:t>
      </w:r>
      <w:r w:rsidR="0017216C" w:rsidRPr="00913267">
        <w:rPr>
          <w:sz w:val="24"/>
          <w:szCs w:val="24"/>
          <w:lang w:val="en-GB"/>
        </w:rPr>
        <w:t>emory</w:t>
      </w:r>
      <w:r w:rsidR="0017216C" w:rsidRPr="00913267">
        <w:rPr>
          <w:spacing w:val="-6"/>
          <w:sz w:val="24"/>
          <w:szCs w:val="24"/>
          <w:lang w:val="en-GB"/>
        </w:rPr>
        <w:t xml:space="preserve"> </w:t>
      </w:r>
      <w:r w:rsidR="0017216C" w:rsidRPr="00913267">
        <w:rPr>
          <w:sz w:val="24"/>
          <w:szCs w:val="24"/>
          <w:lang w:val="en-GB"/>
        </w:rPr>
        <w:t>loss</w:t>
      </w:r>
    </w:p>
    <w:p w:rsidR="0020210F" w:rsidRPr="00913267" w:rsidRDefault="0020210F" w:rsidP="004430E6">
      <w:pPr>
        <w:pStyle w:val="ListParagraph"/>
        <w:numPr>
          <w:ilvl w:val="0"/>
          <w:numId w:val="24"/>
        </w:numPr>
        <w:spacing w:line="276" w:lineRule="auto"/>
        <w:ind w:left="709" w:hanging="425"/>
        <w:jc w:val="both"/>
        <w:rPr>
          <w:sz w:val="24"/>
          <w:szCs w:val="24"/>
          <w:lang w:val="en-GB"/>
        </w:rPr>
      </w:pPr>
      <w:r w:rsidRPr="00913267">
        <w:rPr>
          <w:sz w:val="24"/>
          <w:szCs w:val="24"/>
          <w:shd w:val="clear" w:color="auto" w:fill="FFFFFF"/>
          <w:lang w:val="en-GB"/>
        </w:rPr>
        <w:t>Feeling anxious</w:t>
      </w:r>
    </w:p>
    <w:p w:rsidR="00F445A5" w:rsidRPr="00913267" w:rsidRDefault="0020210F" w:rsidP="004430E6">
      <w:pPr>
        <w:pStyle w:val="ListParagraph"/>
        <w:numPr>
          <w:ilvl w:val="0"/>
          <w:numId w:val="24"/>
        </w:numPr>
        <w:spacing w:line="276" w:lineRule="auto"/>
        <w:ind w:left="709" w:hanging="425"/>
        <w:jc w:val="both"/>
        <w:rPr>
          <w:rFonts w:ascii="Symbol"/>
          <w:sz w:val="24"/>
          <w:szCs w:val="24"/>
          <w:lang w:val="en-GB"/>
        </w:rPr>
      </w:pPr>
      <w:r w:rsidRPr="00913267">
        <w:rPr>
          <w:sz w:val="24"/>
          <w:szCs w:val="24"/>
          <w:lang w:val="en-GB"/>
        </w:rPr>
        <w:t>L</w:t>
      </w:r>
      <w:r w:rsidR="0017216C" w:rsidRPr="00913267">
        <w:rPr>
          <w:sz w:val="24"/>
          <w:szCs w:val="24"/>
          <w:lang w:val="en-GB"/>
        </w:rPr>
        <w:t>anguage</w:t>
      </w:r>
      <w:r w:rsidR="0017216C" w:rsidRPr="00913267">
        <w:rPr>
          <w:spacing w:val="-2"/>
          <w:sz w:val="24"/>
          <w:szCs w:val="24"/>
          <w:lang w:val="en-GB"/>
        </w:rPr>
        <w:t xml:space="preserve"> </w:t>
      </w:r>
      <w:r w:rsidR="0017216C" w:rsidRPr="00913267">
        <w:rPr>
          <w:sz w:val="24"/>
          <w:szCs w:val="24"/>
          <w:lang w:val="en-GB"/>
        </w:rPr>
        <w:t>impairment</w:t>
      </w:r>
    </w:p>
    <w:p w:rsidR="00F445A5" w:rsidRPr="00913267" w:rsidRDefault="0020210F" w:rsidP="004430E6">
      <w:pPr>
        <w:pStyle w:val="ListParagraph"/>
        <w:numPr>
          <w:ilvl w:val="0"/>
          <w:numId w:val="24"/>
        </w:numPr>
        <w:spacing w:line="276" w:lineRule="auto"/>
        <w:ind w:left="709" w:hanging="425"/>
        <w:jc w:val="both"/>
        <w:rPr>
          <w:rFonts w:ascii="Symbol"/>
          <w:sz w:val="24"/>
          <w:szCs w:val="24"/>
          <w:lang w:val="en-GB"/>
        </w:rPr>
      </w:pPr>
      <w:r w:rsidRPr="00913267">
        <w:rPr>
          <w:sz w:val="24"/>
          <w:szCs w:val="24"/>
          <w:lang w:val="en-GB"/>
        </w:rPr>
        <w:t>D</w:t>
      </w:r>
      <w:r w:rsidR="0017216C" w:rsidRPr="00913267">
        <w:rPr>
          <w:sz w:val="24"/>
          <w:szCs w:val="24"/>
          <w:lang w:val="en-GB"/>
        </w:rPr>
        <w:t>isorientation (not knowing the time or</w:t>
      </w:r>
      <w:r w:rsidR="0017216C" w:rsidRPr="00913267">
        <w:rPr>
          <w:spacing w:val="-4"/>
          <w:sz w:val="24"/>
          <w:szCs w:val="24"/>
          <w:lang w:val="en-GB"/>
        </w:rPr>
        <w:t xml:space="preserve"> </w:t>
      </w:r>
      <w:r w:rsidR="0017216C" w:rsidRPr="00913267">
        <w:rPr>
          <w:sz w:val="24"/>
          <w:szCs w:val="24"/>
          <w:lang w:val="en-GB"/>
        </w:rPr>
        <w:t>place)</w:t>
      </w:r>
    </w:p>
    <w:p w:rsidR="00F445A5" w:rsidRPr="00913267" w:rsidRDefault="0020210F" w:rsidP="004430E6">
      <w:pPr>
        <w:pStyle w:val="ListParagraph"/>
        <w:numPr>
          <w:ilvl w:val="0"/>
          <w:numId w:val="24"/>
        </w:numPr>
        <w:spacing w:line="276" w:lineRule="auto"/>
        <w:ind w:left="709" w:right="950" w:hanging="425"/>
        <w:jc w:val="both"/>
        <w:rPr>
          <w:rFonts w:ascii="Symbol"/>
          <w:sz w:val="20"/>
          <w:lang w:val="en-GB"/>
        </w:rPr>
      </w:pPr>
      <w:r w:rsidRPr="00913267">
        <w:rPr>
          <w:sz w:val="24"/>
          <w:lang w:val="en-GB"/>
        </w:rPr>
        <w:t>C</w:t>
      </w:r>
      <w:r w:rsidR="0017216C" w:rsidRPr="00913267">
        <w:rPr>
          <w:sz w:val="24"/>
          <w:lang w:val="en-GB"/>
        </w:rPr>
        <w:t>hange in personality (becoming more irritable, anxious or withdrawn;</w:t>
      </w:r>
      <w:r w:rsidR="0017216C" w:rsidRPr="00913267">
        <w:rPr>
          <w:spacing w:val="-36"/>
          <w:sz w:val="24"/>
          <w:lang w:val="en-GB"/>
        </w:rPr>
        <w:t xml:space="preserve"> </w:t>
      </w:r>
      <w:r w:rsidR="0017216C" w:rsidRPr="00913267">
        <w:rPr>
          <w:sz w:val="24"/>
          <w:lang w:val="en-GB"/>
        </w:rPr>
        <w:t>loss of skills and impaired judgment)</w:t>
      </w:r>
    </w:p>
    <w:p w:rsidR="00F445A5" w:rsidRPr="00913267" w:rsidRDefault="0020210F" w:rsidP="004430E6">
      <w:pPr>
        <w:pStyle w:val="ListParagraph"/>
        <w:numPr>
          <w:ilvl w:val="0"/>
          <w:numId w:val="24"/>
        </w:numPr>
        <w:spacing w:line="276" w:lineRule="auto"/>
        <w:ind w:left="709" w:hanging="425"/>
        <w:jc w:val="both"/>
        <w:rPr>
          <w:rFonts w:ascii="Symbol"/>
          <w:sz w:val="20"/>
          <w:lang w:val="en-GB"/>
        </w:rPr>
      </w:pPr>
      <w:r w:rsidRPr="00913267">
        <w:rPr>
          <w:sz w:val="24"/>
          <w:lang w:val="en-GB"/>
        </w:rPr>
        <w:t>S</w:t>
      </w:r>
      <w:r w:rsidR="0017216C" w:rsidRPr="00913267">
        <w:rPr>
          <w:sz w:val="24"/>
          <w:lang w:val="en-GB"/>
        </w:rPr>
        <w:t>elf</w:t>
      </w:r>
      <w:r w:rsidR="008B1FFC" w:rsidRPr="00913267">
        <w:rPr>
          <w:sz w:val="24"/>
          <w:lang w:val="en-GB"/>
        </w:rPr>
        <w:t>-</w:t>
      </w:r>
      <w:r w:rsidR="0017216C" w:rsidRPr="00913267">
        <w:rPr>
          <w:sz w:val="24"/>
          <w:lang w:val="en-GB"/>
        </w:rPr>
        <w:t>neglect</w:t>
      </w:r>
    </w:p>
    <w:p w:rsidR="00F445A5" w:rsidRPr="00913267" w:rsidRDefault="0020210F" w:rsidP="004430E6">
      <w:pPr>
        <w:pStyle w:val="ListParagraph"/>
        <w:numPr>
          <w:ilvl w:val="0"/>
          <w:numId w:val="24"/>
        </w:numPr>
        <w:spacing w:line="276" w:lineRule="auto"/>
        <w:ind w:left="709" w:hanging="425"/>
        <w:jc w:val="both"/>
        <w:rPr>
          <w:rFonts w:ascii="Symbol"/>
          <w:sz w:val="20"/>
          <w:lang w:val="en-GB"/>
        </w:rPr>
      </w:pPr>
      <w:r w:rsidRPr="00913267">
        <w:rPr>
          <w:sz w:val="24"/>
          <w:lang w:val="en-GB"/>
        </w:rPr>
        <w:t>B</w:t>
      </w:r>
      <w:r w:rsidR="0017216C" w:rsidRPr="00913267">
        <w:rPr>
          <w:sz w:val="24"/>
          <w:lang w:val="en-GB"/>
        </w:rPr>
        <w:t>ehavio</w:t>
      </w:r>
      <w:r w:rsidR="00464025" w:rsidRPr="00913267">
        <w:rPr>
          <w:sz w:val="24"/>
          <w:lang w:val="en-GB"/>
        </w:rPr>
        <w:t>u</w:t>
      </w:r>
      <w:r w:rsidR="0017216C" w:rsidRPr="00913267">
        <w:rPr>
          <w:sz w:val="24"/>
          <w:lang w:val="en-GB"/>
        </w:rPr>
        <w:t>r which is out of</w:t>
      </w:r>
      <w:r w:rsidR="0017216C" w:rsidRPr="00913267">
        <w:rPr>
          <w:spacing w:val="5"/>
          <w:sz w:val="24"/>
          <w:lang w:val="en-GB"/>
        </w:rPr>
        <w:t xml:space="preserve"> </w:t>
      </w:r>
      <w:r w:rsidR="0017216C" w:rsidRPr="00913267">
        <w:rPr>
          <w:sz w:val="24"/>
          <w:lang w:val="en-GB"/>
        </w:rPr>
        <w:t>character</w:t>
      </w:r>
    </w:p>
    <w:p w:rsidR="0020210F" w:rsidRPr="00913267" w:rsidRDefault="0020210F" w:rsidP="00464025">
      <w:pPr>
        <w:tabs>
          <w:tab w:val="left" w:pos="939"/>
          <w:tab w:val="left" w:pos="940"/>
        </w:tabs>
        <w:spacing w:line="276" w:lineRule="auto"/>
        <w:jc w:val="both"/>
        <w:rPr>
          <w:rFonts w:ascii="Symbol"/>
          <w:sz w:val="20"/>
          <w:lang w:val="en-GB"/>
        </w:rPr>
      </w:pPr>
    </w:p>
    <w:p w:rsidR="00F445A5" w:rsidRPr="00913267" w:rsidRDefault="00216872" w:rsidP="00464025">
      <w:pPr>
        <w:pStyle w:val="BodyText"/>
        <w:spacing w:line="276" w:lineRule="auto"/>
        <w:jc w:val="both"/>
        <w:rPr>
          <w:lang w:val="en-GB"/>
        </w:rPr>
      </w:pPr>
      <w:r w:rsidRPr="00913267">
        <w:rPr>
          <w:lang w:val="en-GB"/>
        </w:rPr>
        <w:t>Studies have shown that dementia gets worst. It is more co</w:t>
      </w:r>
      <w:r w:rsidR="00113AE7" w:rsidRPr="00913267">
        <w:rPr>
          <w:lang w:val="en-GB"/>
        </w:rPr>
        <w:t xml:space="preserve">mmon in older people and it </w:t>
      </w:r>
      <w:r w:rsidRPr="00913267">
        <w:rPr>
          <w:lang w:val="en-GB"/>
        </w:rPr>
        <w:t>may also run in families.</w:t>
      </w:r>
      <w:r w:rsidR="004430E6" w:rsidRPr="00913267">
        <w:rPr>
          <w:lang w:val="en-GB"/>
        </w:rPr>
        <w:t xml:space="preserve"> </w:t>
      </w:r>
      <w:r w:rsidR="00A102F7" w:rsidRPr="00913267">
        <w:rPr>
          <w:lang w:val="en-GB"/>
        </w:rPr>
        <w:t>A person with dementia may lose empathy, they may see or hear things that other people do not (hallucinations), or they may make false claims or statements.</w:t>
      </w:r>
    </w:p>
    <w:p w:rsidR="00113AE7" w:rsidRPr="00913267" w:rsidRDefault="00113AE7" w:rsidP="00464025">
      <w:pPr>
        <w:pStyle w:val="BodyText"/>
        <w:spacing w:line="276" w:lineRule="auto"/>
        <w:jc w:val="both"/>
        <w:rPr>
          <w:lang w:val="en-GB"/>
        </w:rPr>
      </w:pPr>
    </w:p>
    <w:p w:rsidR="00113AE7" w:rsidRPr="00913267" w:rsidRDefault="00113AE7" w:rsidP="00464025">
      <w:pPr>
        <w:pStyle w:val="BodyText"/>
        <w:spacing w:line="276" w:lineRule="auto"/>
        <w:jc w:val="both"/>
        <w:rPr>
          <w:lang w:val="en-GB"/>
        </w:rPr>
      </w:pPr>
      <w:r w:rsidRPr="00913267">
        <w:rPr>
          <w:lang w:val="en-GB"/>
        </w:rPr>
        <w:t>Contrary to common belief, dementia is not one specific disease but is an umbrella term that describes a wide variety of symptoms that damages the brain cells. Dementia is progressive, meaning that it gradually gets worse. And sadly, there is no cure for most forms of dementia. “People typically think Alzheimer’s is dementia. In fact, it is one of the many forms of dementia.</w:t>
      </w:r>
    </w:p>
    <w:p w:rsidR="00A102F7" w:rsidRPr="00913267" w:rsidRDefault="00A102F7" w:rsidP="00464025">
      <w:pPr>
        <w:pStyle w:val="BodyText"/>
        <w:spacing w:line="276" w:lineRule="auto"/>
        <w:jc w:val="both"/>
        <w:rPr>
          <w:lang w:val="en-GB"/>
        </w:rPr>
      </w:pPr>
    </w:p>
    <w:p w:rsidR="00F445A5" w:rsidRPr="00913267" w:rsidRDefault="00A102F7" w:rsidP="004430E6">
      <w:pPr>
        <w:pStyle w:val="BodyText"/>
        <w:spacing w:line="276" w:lineRule="auto"/>
        <w:jc w:val="both"/>
        <w:rPr>
          <w:lang w:val="en-GB"/>
        </w:rPr>
      </w:pPr>
      <w:r w:rsidRPr="00913267">
        <w:rPr>
          <w:lang w:val="en-GB"/>
        </w:rPr>
        <w:t>As dementia affects a person's mental abilities, they may find planning and organizing difficult. Maintaining their independence may also become a problem. A person with dementia will therefore usually need help from friends or relatives, including help with decision making.</w:t>
      </w:r>
      <w:r w:rsidR="004430E6" w:rsidRPr="00913267">
        <w:rPr>
          <w:lang w:val="en-GB"/>
        </w:rPr>
        <w:t xml:space="preserve"> P</w:t>
      </w:r>
      <w:r w:rsidR="0017216C" w:rsidRPr="00913267">
        <w:rPr>
          <w:lang w:val="en-GB"/>
        </w:rPr>
        <w:t xml:space="preserve">atients </w:t>
      </w:r>
      <w:r w:rsidRPr="00913267">
        <w:rPr>
          <w:lang w:val="en-GB"/>
        </w:rPr>
        <w:t xml:space="preserve">may </w:t>
      </w:r>
      <w:r w:rsidR="0017216C" w:rsidRPr="00913267">
        <w:rPr>
          <w:lang w:val="en-GB"/>
        </w:rPr>
        <w:t>have difficulty feeding, dressing and washing themselves and</w:t>
      </w:r>
      <w:r w:rsidR="004430E6" w:rsidRPr="00913267">
        <w:rPr>
          <w:lang w:val="en-GB"/>
        </w:rPr>
        <w:t xml:space="preserve"> </w:t>
      </w:r>
      <w:r w:rsidR="0017216C" w:rsidRPr="00913267">
        <w:rPr>
          <w:lang w:val="en-GB"/>
        </w:rPr>
        <w:t xml:space="preserve">are highly dependent on carers. </w:t>
      </w:r>
    </w:p>
    <w:p w:rsidR="00A102F7" w:rsidRPr="00913267" w:rsidRDefault="00A102F7" w:rsidP="004430E6">
      <w:pPr>
        <w:pStyle w:val="BodyText"/>
        <w:spacing w:line="276" w:lineRule="auto"/>
        <w:jc w:val="both"/>
        <w:rPr>
          <w:lang w:val="en-GB"/>
        </w:rPr>
      </w:pPr>
    </w:p>
    <w:p w:rsidR="008623F9" w:rsidRPr="00913267" w:rsidRDefault="00A102F7" w:rsidP="004430E6">
      <w:pPr>
        <w:pStyle w:val="BodyText"/>
        <w:spacing w:line="276" w:lineRule="auto"/>
        <w:jc w:val="both"/>
        <w:rPr>
          <w:lang w:val="en-GB"/>
        </w:rPr>
      </w:pPr>
      <w:r w:rsidRPr="00913267">
        <w:rPr>
          <w:lang w:val="en-GB"/>
        </w:rPr>
        <w:t>Most types of dementia can't be cured, but if detec</w:t>
      </w:r>
      <w:r w:rsidR="004A16D5" w:rsidRPr="00913267">
        <w:rPr>
          <w:lang w:val="en-GB"/>
        </w:rPr>
        <w:t>ted early there are ways to</w:t>
      </w:r>
      <w:r w:rsidR="004430E6" w:rsidRPr="00913267">
        <w:rPr>
          <w:lang w:val="en-GB"/>
        </w:rPr>
        <w:t xml:space="preserve"> </w:t>
      </w:r>
      <w:r w:rsidRPr="00913267">
        <w:rPr>
          <w:lang w:val="en-GB"/>
        </w:rPr>
        <w:t>slow it down and maintain mental function.</w:t>
      </w:r>
      <w:r w:rsidR="004430E6" w:rsidRPr="00913267">
        <w:rPr>
          <w:lang w:val="en-GB"/>
        </w:rPr>
        <w:t xml:space="preserve"> </w:t>
      </w:r>
      <w:r w:rsidR="008623F9" w:rsidRPr="00913267">
        <w:rPr>
          <w:lang w:val="en-GB"/>
        </w:rPr>
        <w:t>Everyone's experience of dementia is unique and the progression of the condition varies.  Some symptoms are more likely to occur with certain types of dementia.</w:t>
      </w:r>
    </w:p>
    <w:p w:rsidR="00CF5C75" w:rsidRPr="00913267" w:rsidRDefault="00CF5C75" w:rsidP="004430E6">
      <w:pPr>
        <w:pStyle w:val="BodyText"/>
        <w:spacing w:line="276" w:lineRule="auto"/>
        <w:jc w:val="both"/>
        <w:rPr>
          <w:lang w:val="en-GB"/>
        </w:rPr>
      </w:pPr>
    </w:p>
    <w:p w:rsidR="00CF5C75" w:rsidRPr="00913267" w:rsidRDefault="004746A2" w:rsidP="004430E6">
      <w:pPr>
        <w:pStyle w:val="BodyText"/>
        <w:spacing w:line="276" w:lineRule="auto"/>
        <w:jc w:val="both"/>
        <w:rPr>
          <w:u w:val="single"/>
          <w:lang w:val="en-GB"/>
        </w:rPr>
      </w:pPr>
      <w:r w:rsidRPr="00913267">
        <w:rPr>
          <w:u w:val="single"/>
          <w:lang w:val="en-GB"/>
        </w:rPr>
        <w:t>Why</w:t>
      </w:r>
      <w:r w:rsidR="00CF5C75" w:rsidRPr="00913267">
        <w:rPr>
          <w:u w:val="single"/>
          <w:lang w:val="en-GB"/>
        </w:rPr>
        <w:t xml:space="preserve"> </w:t>
      </w:r>
      <w:r w:rsidRPr="00913267">
        <w:rPr>
          <w:u w:val="single"/>
          <w:lang w:val="en-GB"/>
        </w:rPr>
        <w:t>it is important to get a diagnosis</w:t>
      </w:r>
    </w:p>
    <w:p w:rsidR="00CF5C75" w:rsidRPr="00913267" w:rsidRDefault="00CF5C75" w:rsidP="004430E6">
      <w:pPr>
        <w:pStyle w:val="BodyText"/>
        <w:spacing w:line="276" w:lineRule="auto"/>
        <w:jc w:val="both"/>
        <w:rPr>
          <w:lang w:val="en-GB"/>
        </w:rPr>
      </w:pPr>
    </w:p>
    <w:p w:rsidR="00574DE4" w:rsidRPr="00913267" w:rsidRDefault="00574DE4" w:rsidP="004430E6">
      <w:pPr>
        <w:pStyle w:val="BodyText"/>
        <w:spacing w:line="276" w:lineRule="auto"/>
        <w:jc w:val="both"/>
        <w:rPr>
          <w:lang w:val="en-GB"/>
        </w:rPr>
      </w:pPr>
      <w:r w:rsidRPr="00913267">
        <w:rPr>
          <w:lang w:val="en-GB"/>
        </w:rPr>
        <w:t>An early diagnosis opens the door to future care and treatment. It helps people to plan ahead while they are still able to make important decisions on their care and support needs and on financial and legal matter.</w:t>
      </w:r>
      <w:r w:rsidR="004430E6" w:rsidRPr="00913267">
        <w:rPr>
          <w:lang w:val="en-GB"/>
        </w:rPr>
        <w:t xml:space="preserve"> </w:t>
      </w:r>
      <w:r w:rsidRPr="00913267">
        <w:rPr>
          <w:lang w:val="en-GB"/>
        </w:rPr>
        <w:t>It also helps them and their families to receive practical information, advice and guidance as they face new challenges.</w:t>
      </w:r>
    </w:p>
    <w:p w:rsidR="004746A2" w:rsidRPr="00913267" w:rsidRDefault="004746A2" w:rsidP="004430E6">
      <w:pPr>
        <w:pStyle w:val="BodyText"/>
        <w:spacing w:line="276" w:lineRule="auto"/>
        <w:rPr>
          <w:lang w:val="en-GB"/>
        </w:rPr>
      </w:pPr>
    </w:p>
    <w:p w:rsidR="004746A2" w:rsidRPr="00913267" w:rsidRDefault="004746A2" w:rsidP="004430E6">
      <w:pPr>
        <w:pStyle w:val="BodyText"/>
        <w:spacing w:line="276" w:lineRule="auto"/>
        <w:jc w:val="both"/>
        <w:rPr>
          <w:lang w:val="en-GB"/>
        </w:rPr>
      </w:pPr>
      <w:r w:rsidRPr="00913267">
        <w:rPr>
          <w:lang w:val="en-GB"/>
        </w:rPr>
        <w:t>Diagnosis will help them gain access to resources and support, make the most of their abilities and also benefit from drug and non-drug treatments available.</w:t>
      </w:r>
    </w:p>
    <w:p w:rsidR="007A1D91" w:rsidRPr="00913267" w:rsidRDefault="007A1D91" w:rsidP="004430E6">
      <w:pPr>
        <w:pStyle w:val="BodyText"/>
        <w:spacing w:line="276" w:lineRule="auto"/>
        <w:jc w:val="both"/>
        <w:rPr>
          <w:b/>
          <w:lang w:val="en-GB"/>
        </w:rPr>
      </w:pPr>
    </w:p>
    <w:p w:rsidR="007A1D91" w:rsidRPr="00913267" w:rsidRDefault="00347D27" w:rsidP="004430E6">
      <w:pPr>
        <w:pStyle w:val="BodyText"/>
        <w:spacing w:line="276" w:lineRule="auto"/>
        <w:jc w:val="both"/>
        <w:rPr>
          <w:u w:val="single"/>
          <w:lang w:val="en-GB"/>
        </w:rPr>
      </w:pPr>
      <w:r w:rsidRPr="00913267">
        <w:rPr>
          <w:u w:val="single"/>
          <w:lang w:val="en-GB"/>
        </w:rPr>
        <w:t>Why</w:t>
      </w:r>
      <w:r w:rsidR="004746A2" w:rsidRPr="00913267">
        <w:rPr>
          <w:u w:val="single"/>
          <w:lang w:val="en-GB"/>
        </w:rPr>
        <w:t xml:space="preserve"> people may shy away from</w:t>
      </w:r>
      <w:r w:rsidR="007A1D91" w:rsidRPr="00913267">
        <w:rPr>
          <w:u w:val="single"/>
          <w:lang w:val="en-GB"/>
        </w:rPr>
        <w:t xml:space="preserve"> diagnosis</w:t>
      </w:r>
    </w:p>
    <w:p w:rsidR="007A1D91" w:rsidRPr="00913267" w:rsidRDefault="007A1D91" w:rsidP="004430E6">
      <w:pPr>
        <w:pStyle w:val="BodyText"/>
        <w:spacing w:line="276" w:lineRule="auto"/>
        <w:jc w:val="both"/>
        <w:rPr>
          <w:b/>
          <w:lang w:val="en-GB"/>
        </w:rPr>
      </w:pPr>
    </w:p>
    <w:p w:rsidR="007A1D91" w:rsidRPr="00913267" w:rsidRDefault="00525A04" w:rsidP="004430E6">
      <w:pPr>
        <w:pStyle w:val="BodyText"/>
        <w:spacing w:line="276" w:lineRule="auto"/>
        <w:jc w:val="both"/>
        <w:rPr>
          <w:b/>
          <w:lang w:val="en-GB"/>
        </w:rPr>
      </w:pPr>
      <w:r w:rsidRPr="00913267">
        <w:rPr>
          <w:lang w:val="en-GB"/>
        </w:rPr>
        <w:t xml:space="preserve">Harrow has a diverse population and diagnosing people with dementia is a challenge. Generally the public </w:t>
      </w:r>
      <w:r w:rsidR="007A1D91" w:rsidRPr="00913267">
        <w:rPr>
          <w:lang w:val="en-GB"/>
        </w:rPr>
        <w:t>have concerns over the impact on their daily lives</w:t>
      </w:r>
      <w:r w:rsidR="004430E6" w:rsidRPr="00913267">
        <w:rPr>
          <w:lang w:val="en-GB"/>
        </w:rPr>
        <w:t>. P</w:t>
      </w:r>
      <w:r w:rsidR="007A1D91" w:rsidRPr="00913267">
        <w:rPr>
          <w:lang w:val="en-GB"/>
        </w:rPr>
        <w:t>articularly</w:t>
      </w:r>
      <w:r w:rsidR="004430E6" w:rsidRPr="00913267">
        <w:rPr>
          <w:lang w:val="en-GB"/>
        </w:rPr>
        <w:t xml:space="preserve"> in</w:t>
      </w:r>
      <w:r w:rsidR="007A1D91" w:rsidRPr="00913267">
        <w:rPr>
          <w:lang w:val="en-GB"/>
        </w:rPr>
        <w:t xml:space="preserve"> their jobs, social lives</w:t>
      </w:r>
      <w:r w:rsidR="004746A2" w:rsidRPr="00913267">
        <w:rPr>
          <w:lang w:val="en-GB"/>
        </w:rPr>
        <w:t>, cultural belief</w:t>
      </w:r>
      <w:r w:rsidR="007A1D91" w:rsidRPr="00913267">
        <w:rPr>
          <w:lang w:val="en-GB"/>
        </w:rPr>
        <w:t xml:space="preserve"> and</w:t>
      </w:r>
      <w:r w:rsidR="005911AA" w:rsidRPr="00913267">
        <w:rPr>
          <w:lang w:val="en-GB"/>
        </w:rPr>
        <w:t xml:space="preserve"> the</w:t>
      </w:r>
      <w:r w:rsidR="007A1D91" w:rsidRPr="00913267">
        <w:rPr>
          <w:lang w:val="en-GB"/>
        </w:rPr>
        <w:t xml:space="preserve"> ability to drive</w:t>
      </w:r>
      <w:r w:rsidR="004746A2" w:rsidRPr="00913267">
        <w:rPr>
          <w:lang w:val="en-GB"/>
        </w:rPr>
        <w:t xml:space="preserve"> and </w:t>
      </w:r>
      <w:r w:rsidR="004430E6" w:rsidRPr="00913267">
        <w:rPr>
          <w:lang w:val="en-GB"/>
        </w:rPr>
        <w:t xml:space="preserve">in many cases the stigma </w:t>
      </w:r>
      <w:r w:rsidR="005911AA" w:rsidRPr="00913267">
        <w:rPr>
          <w:lang w:val="en-GB"/>
        </w:rPr>
        <w:t>is associated with dementia</w:t>
      </w:r>
      <w:r w:rsidR="004746A2" w:rsidRPr="00913267">
        <w:rPr>
          <w:lang w:val="en-GB"/>
        </w:rPr>
        <w:t>. For these reason,</w:t>
      </w:r>
      <w:r w:rsidR="007A1D91" w:rsidRPr="00913267">
        <w:rPr>
          <w:lang w:val="en-GB"/>
        </w:rPr>
        <w:t xml:space="preserve"> some </w:t>
      </w:r>
      <w:r w:rsidR="004430E6" w:rsidRPr="00913267">
        <w:rPr>
          <w:lang w:val="en-GB"/>
        </w:rPr>
        <w:t xml:space="preserve">families, carers and suffers </w:t>
      </w:r>
      <w:r w:rsidR="004746A2" w:rsidRPr="00913267">
        <w:rPr>
          <w:lang w:val="en-GB"/>
        </w:rPr>
        <w:t>prefer not to</w:t>
      </w:r>
      <w:r w:rsidR="007A1D91" w:rsidRPr="00913267">
        <w:rPr>
          <w:lang w:val="en-GB"/>
        </w:rPr>
        <w:t xml:space="preserve"> seek a diagnosis</w:t>
      </w:r>
      <w:r w:rsidRPr="00913267">
        <w:rPr>
          <w:lang w:val="en-GB"/>
        </w:rPr>
        <w:t xml:space="preserve"> when early signs of dementia are present</w:t>
      </w:r>
      <w:r w:rsidR="007A1D91" w:rsidRPr="00913267">
        <w:rPr>
          <w:b/>
          <w:lang w:val="en-GB"/>
        </w:rPr>
        <w:t>.</w:t>
      </w:r>
      <w:r w:rsidR="00BD2B69" w:rsidRPr="00913267">
        <w:rPr>
          <w:b/>
          <w:lang w:val="en-GB"/>
        </w:rPr>
        <w:t xml:space="preserve"> </w:t>
      </w:r>
    </w:p>
    <w:p w:rsidR="00525A04" w:rsidRPr="00913267" w:rsidRDefault="00525A04" w:rsidP="004430E6">
      <w:pPr>
        <w:pStyle w:val="BodyText"/>
        <w:spacing w:line="276" w:lineRule="auto"/>
        <w:jc w:val="both"/>
        <w:rPr>
          <w:lang w:val="en-GB"/>
        </w:rPr>
      </w:pPr>
    </w:p>
    <w:p w:rsidR="00A40D17" w:rsidRPr="00913267" w:rsidRDefault="00A40D17" w:rsidP="00525A04">
      <w:pPr>
        <w:pStyle w:val="BodyText"/>
        <w:numPr>
          <w:ilvl w:val="0"/>
          <w:numId w:val="39"/>
        </w:numPr>
        <w:spacing w:line="276" w:lineRule="auto"/>
        <w:jc w:val="both"/>
        <w:rPr>
          <w:lang w:val="en-GB"/>
        </w:rPr>
      </w:pPr>
      <w:r w:rsidRPr="00913267">
        <w:rPr>
          <w:lang w:val="en-GB"/>
        </w:rPr>
        <w:t>49 %</w:t>
      </w:r>
      <w:r w:rsidR="00525A04" w:rsidRPr="00913267">
        <w:rPr>
          <w:lang w:val="en-GB"/>
        </w:rPr>
        <w:t xml:space="preserve"> </w:t>
      </w:r>
      <w:r w:rsidRPr="00913267">
        <w:rPr>
          <w:lang w:val="en-GB"/>
        </w:rPr>
        <w:t>of people are worried that they would be seen as mad after a diagnosis of dementia</w:t>
      </w:r>
    </w:p>
    <w:p w:rsidR="00A40D17" w:rsidRPr="00913267" w:rsidRDefault="00A40D17" w:rsidP="00525A04">
      <w:pPr>
        <w:pStyle w:val="BodyText"/>
        <w:numPr>
          <w:ilvl w:val="0"/>
          <w:numId w:val="39"/>
        </w:numPr>
        <w:spacing w:line="276" w:lineRule="auto"/>
        <w:jc w:val="both"/>
        <w:rPr>
          <w:lang w:val="en-GB"/>
        </w:rPr>
      </w:pPr>
      <w:r w:rsidRPr="00913267">
        <w:rPr>
          <w:lang w:val="en-GB"/>
        </w:rPr>
        <w:t>56% of people put off seeking diagnosis for up to a year of more.</w:t>
      </w:r>
    </w:p>
    <w:p w:rsidR="00A40D17" w:rsidRPr="00913267" w:rsidRDefault="00A40D17" w:rsidP="00525A04">
      <w:pPr>
        <w:pStyle w:val="BodyText"/>
        <w:numPr>
          <w:ilvl w:val="0"/>
          <w:numId w:val="39"/>
        </w:numPr>
        <w:spacing w:line="276" w:lineRule="auto"/>
        <w:jc w:val="both"/>
        <w:rPr>
          <w:lang w:val="en-GB"/>
        </w:rPr>
      </w:pPr>
      <w:r w:rsidRPr="00913267">
        <w:rPr>
          <w:lang w:val="en-GB"/>
        </w:rPr>
        <w:t>62% of people feel that their life is over after diagnosis.</w:t>
      </w:r>
    </w:p>
    <w:p w:rsidR="00A40D17" w:rsidRPr="00913267" w:rsidRDefault="00A40D17" w:rsidP="00525A04">
      <w:pPr>
        <w:pStyle w:val="BodyText"/>
        <w:numPr>
          <w:ilvl w:val="0"/>
          <w:numId w:val="39"/>
        </w:numPr>
        <w:spacing w:line="276" w:lineRule="auto"/>
        <w:jc w:val="both"/>
        <w:rPr>
          <w:lang w:val="en-GB"/>
        </w:rPr>
      </w:pPr>
      <w:r w:rsidRPr="00913267">
        <w:rPr>
          <w:lang w:val="en-GB"/>
        </w:rPr>
        <w:t>58% of people feel that they will struggle to join in conversations or enjoy the things they used to enjoy the things they used to.</w:t>
      </w:r>
    </w:p>
    <w:p w:rsidR="00A40D17" w:rsidRPr="00913267" w:rsidRDefault="00A40D17" w:rsidP="00525A04">
      <w:pPr>
        <w:pStyle w:val="BodyText"/>
        <w:numPr>
          <w:ilvl w:val="0"/>
          <w:numId w:val="39"/>
        </w:numPr>
        <w:spacing w:line="276" w:lineRule="auto"/>
        <w:jc w:val="both"/>
        <w:rPr>
          <w:lang w:val="en-GB"/>
        </w:rPr>
      </w:pPr>
      <w:r w:rsidRPr="00913267">
        <w:rPr>
          <w:lang w:val="en-GB"/>
        </w:rPr>
        <w:t xml:space="preserve">42% believe that once a person living with dementia stops recognising loved ones, they don’t benefit from spending time with them. </w:t>
      </w:r>
    </w:p>
    <w:p w:rsidR="00A40D17" w:rsidRPr="00913267" w:rsidRDefault="00A40D17" w:rsidP="00525A04">
      <w:pPr>
        <w:pStyle w:val="BodyText"/>
        <w:numPr>
          <w:ilvl w:val="0"/>
          <w:numId w:val="39"/>
        </w:numPr>
        <w:spacing w:line="276" w:lineRule="auto"/>
        <w:jc w:val="both"/>
        <w:rPr>
          <w:lang w:val="en-GB"/>
        </w:rPr>
      </w:pPr>
      <w:r w:rsidRPr="00913267">
        <w:rPr>
          <w:lang w:val="en-GB"/>
        </w:rPr>
        <w:t>68% believe that they will be a different person if they were diagnosed of dementia.</w:t>
      </w:r>
    </w:p>
    <w:p w:rsidR="00A40D17" w:rsidRPr="00913267" w:rsidRDefault="00A40D17" w:rsidP="00525A04">
      <w:pPr>
        <w:pStyle w:val="BodyText"/>
        <w:numPr>
          <w:ilvl w:val="0"/>
          <w:numId w:val="39"/>
        </w:numPr>
        <w:spacing w:line="276" w:lineRule="auto"/>
        <w:jc w:val="both"/>
        <w:rPr>
          <w:lang w:val="en-GB"/>
        </w:rPr>
      </w:pPr>
      <w:r w:rsidRPr="00913267">
        <w:rPr>
          <w:lang w:val="en-GB"/>
        </w:rPr>
        <w:t>68% of people feel isolated following a diagnosis of dementia</w:t>
      </w:r>
    </w:p>
    <w:p w:rsidR="00A40D17" w:rsidRPr="00913267" w:rsidRDefault="00A40D17" w:rsidP="00525A04">
      <w:pPr>
        <w:pStyle w:val="BodyText"/>
        <w:numPr>
          <w:ilvl w:val="0"/>
          <w:numId w:val="39"/>
        </w:numPr>
        <w:spacing w:line="276" w:lineRule="auto"/>
        <w:jc w:val="both"/>
        <w:rPr>
          <w:lang w:val="en-GB"/>
        </w:rPr>
      </w:pPr>
      <w:r w:rsidRPr="00913267">
        <w:rPr>
          <w:lang w:val="en-GB"/>
        </w:rPr>
        <w:t>85% of people want to stay at home as long as possible after a diagnosis of dementia.</w:t>
      </w:r>
    </w:p>
    <w:p w:rsidR="00525A04" w:rsidRPr="00913267" w:rsidRDefault="00A40D17" w:rsidP="004430E6">
      <w:pPr>
        <w:pStyle w:val="BodyText"/>
        <w:spacing w:line="276" w:lineRule="auto"/>
        <w:jc w:val="both"/>
        <w:rPr>
          <w:sz w:val="23"/>
          <w:lang w:val="en-GB"/>
        </w:rPr>
      </w:pPr>
      <w:r w:rsidRPr="00913267">
        <w:rPr>
          <w:sz w:val="23"/>
          <w:lang w:val="en-GB"/>
        </w:rPr>
        <w:t xml:space="preserve">    </w:t>
      </w:r>
    </w:p>
    <w:p w:rsidR="00A40D17" w:rsidRPr="00913267" w:rsidRDefault="000A7417" w:rsidP="00525A04">
      <w:pPr>
        <w:pStyle w:val="BodyText"/>
        <w:spacing w:line="276" w:lineRule="auto"/>
        <w:ind w:left="720"/>
        <w:jc w:val="both"/>
        <w:rPr>
          <w:sz w:val="16"/>
          <w:szCs w:val="16"/>
          <w:lang w:val="en-GB"/>
        </w:rPr>
      </w:pPr>
      <w:r w:rsidRPr="00913267">
        <w:rPr>
          <w:sz w:val="16"/>
          <w:szCs w:val="16"/>
          <w:lang w:val="en-GB"/>
        </w:rPr>
        <w:t>Source: Alzheimer’s Society /</w:t>
      </w:r>
      <w:r w:rsidR="00A40D17" w:rsidRPr="00913267">
        <w:rPr>
          <w:sz w:val="16"/>
          <w:szCs w:val="16"/>
          <w:lang w:val="en-GB"/>
        </w:rPr>
        <w:t xml:space="preserve"> Dementia statics.org</w:t>
      </w:r>
      <w:r w:rsidRPr="00913267">
        <w:rPr>
          <w:sz w:val="16"/>
          <w:szCs w:val="16"/>
          <w:lang w:val="en-GB"/>
        </w:rPr>
        <w:t xml:space="preserve"> (2016)</w:t>
      </w:r>
    </w:p>
    <w:p w:rsidR="00A40D17" w:rsidRPr="00913267" w:rsidRDefault="00A40D17" w:rsidP="004430E6">
      <w:pPr>
        <w:pStyle w:val="BodyText"/>
        <w:spacing w:line="276" w:lineRule="auto"/>
        <w:jc w:val="both"/>
        <w:rPr>
          <w:sz w:val="16"/>
          <w:szCs w:val="16"/>
          <w:lang w:val="en-GB"/>
        </w:rPr>
      </w:pPr>
    </w:p>
    <w:p w:rsidR="00525A04" w:rsidRPr="00913267" w:rsidRDefault="00525A04" w:rsidP="00525A04">
      <w:pPr>
        <w:spacing w:line="276" w:lineRule="auto"/>
        <w:jc w:val="both"/>
        <w:rPr>
          <w:sz w:val="24"/>
          <w:u w:val="single"/>
          <w:lang w:val="en-GB"/>
        </w:rPr>
      </w:pPr>
    </w:p>
    <w:p w:rsidR="00F445A5" w:rsidRPr="00913267" w:rsidRDefault="0017216C" w:rsidP="00525A04">
      <w:pPr>
        <w:spacing w:line="276" w:lineRule="auto"/>
        <w:jc w:val="both"/>
        <w:rPr>
          <w:sz w:val="24"/>
          <w:u w:val="single"/>
          <w:lang w:val="en-GB"/>
        </w:rPr>
      </w:pPr>
      <w:r w:rsidRPr="00913267">
        <w:rPr>
          <w:sz w:val="24"/>
          <w:u w:val="single"/>
          <w:lang w:val="en-GB"/>
        </w:rPr>
        <w:t>Early and Late onset</w:t>
      </w:r>
      <w:r w:rsidRPr="00913267">
        <w:rPr>
          <w:spacing w:val="-7"/>
          <w:sz w:val="24"/>
          <w:u w:val="single"/>
          <w:lang w:val="en-GB"/>
        </w:rPr>
        <w:t xml:space="preserve"> </w:t>
      </w:r>
      <w:r w:rsidRPr="00913267">
        <w:rPr>
          <w:sz w:val="24"/>
          <w:u w:val="single"/>
          <w:lang w:val="en-GB"/>
        </w:rPr>
        <w:t>dementia</w:t>
      </w:r>
    </w:p>
    <w:p w:rsidR="00F445A5" w:rsidRPr="00913267" w:rsidRDefault="00F445A5" w:rsidP="004430E6">
      <w:pPr>
        <w:pStyle w:val="BodyText"/>
        <w:spacing w:line="276" w:lineRule="auto"/>
        <w:jc w:val="both"/>
        <w:rPr>
          <w:b/>
          <w:lang w:val="en-GB"/>
        </w:rPr>
      </w:pPr>
    </w:p>
    <w:p w:rsidR="000A7417" w:rsidRPr="00913267" w:rsidRDefault="00216872" w:rsidP="004430E6">
      <w:pPr>
        <w:pStyle w:val="BodyText"/>
        <w:spacing w:line="276" w:lineRule="auto"/>
        <w:jc w:val="both"/>
        <w:rPr>
          <w:lang w:val="en-GB"/>
        </w:rPr>
      </w:pPr>
      <w:r w:rsidRPr="00913267">
        <w:rPr>
          <w:lang w:val="en-GB"/>
        </w:rPr>
        <w:t xml:space="preserve">Early-onset of dementia is used to describe the situation where dementia is developed before the age of 65. </w:t>
      </w:r>
      <w:r w:rsidR="0013169D" w:rsidRPr="00913267">
        <w:rPr>
          <w:lang w:val="en-GB"/>
        </w:rPr>
        <w:t xml:space="preserve">It is estimated that at least 42,000 younger people are living with dementia in the UK </w:t>
      </w:r>
      <w:r w:rsidR="0013169D" w:rsidRPr="00913267">
        <w:rPr>
          <w:b/>
          <w:lang w:val="en-GB"/>
        </w:rPr>
        <w:t>(2014)</w:t>
      </w:r>
      <w:r w:rsidR="0013169D" w:rsidRPr="00913267">
        <w:rPr>
          <w:lang w:val="en-GB"/>
        </w:rPr>
        <w:t xml:space="preserve"> Prince M et al, Dementia UK.</w:t>
      </w:r>
    </w:p>
    <w:p w:rsidR="000A7417" w:rsidRPr="00913267" w:rsidRDefault="000A7417" w:rsidP="004430E6">
      <w:pPr>
        <w:pStyle w:val="BodyText"/>
        <w:spacing w:line="276" w:lineRule="auto"/>
        <w:jc w:val="both"/>
        <w:rPr>
          <w:lang w:val="en-GB"/>
        </w:rPr>
      </w:pPr>
    </w:p>
    <w:p w:rsidR="00216872" w:rsidRPr="00913267" w:rsidRDefault="00216872" w:rsidP="004430E6">
      <w:pPr>
        <w:pStyle w:val="BodyText"/>
        <w:spacing w:line="276" w:lineRule="auto"/>
        <w:jc w:val="both"/>
        <w:rPr>
          <w:lang w:val="en-GB"/>
        </w:rPr>
      </w:pPr>
      <w:r w:rsidRPr="00913267">
        <w:rPr>
          <w:lang w:val="en-GB"/>
        </w:rPr>
        <w:t>Late-onset of dementia refers to patients who develop dementia after the age of 65.</w:t>
      </w:r>
      <w:r w:rsidR="000A7417" w:rsidRPr="00913267">
        <w:rPr>
          <w:lang w:val="en-GB"/>
        </w:rPr>
        <w:t xml:space="preserve"> </w:t>
      </w:r>
      <w:r w:rsidRPr="00913267">
        <w:rPr>
          <w:lang w:val="en-GB"/>
        </w:rPr>
        <w:t xml:space="preserve">    </w:t>
      </w:r>
    </w:p>
    <w:p w:rsidR="00F445A5" w:rsidRPr="00913267" w:rsidRDefault="0017216C" w:rsidP="004430E6">
      <w:pPr>
        <w:pStyle w:val="BodyText"/>
        <w:spacing w:line="276" w:lineRule="auto"/>
        <w:jc w:val="both"/>
        <w:rPr>
          <w:lang w:val="en-GB"/>
        </w:rPr>
      </w:pPr>
      <w:r w:rsidRPr="00913267">
        <w:rPr>
          <w:lang w:val="en-GB"/>
        </w:rPr>
        <w:t>Late-onset dementia is far more common than early-onset dementia, because dementia is primarily a disease associated with ageing. However the underlying disease for all age ranges is the same.</w:t>
      </w:r>
    </w:p>
    <w:p w:rsidR="00F445A5" w:rsidRPr="00913267" w:rsidRDefault="00F445A5" w:rsidP="004430E6">
      <w:pPr>
        <w:pStyle w:val="BodyText"/>
        <w:spacing w:line="276" w:lineRule="auto"/>
        <w:jc w:val="both"/>
        <w:rPr>
          <w:sz w:val="23"/>
          <w:lang w:val="en-GB"/>
        </w:rPr>
      </w:pPr>
    </w:p>
    <w:p w:rsidR="00F445A5" w:rsidRPr="00913267" w:rsidRDefault="0017216C" w:rsidP="00525A04">
      <w:pPr>
        <w:pStyle w:val="ListParagraph"/>
        <w:tabs>
          <w:tab w:val="left" w:pos="624"/>
        </w:tabs>
        <w:spacing w:line="276" w:lineRule="auto"/>
        <w:ind w:left="0" w:firstLine="0"/>
        <w:jc w:val="both"/>
        <w:rPr>
          <w:sz w:val="24"/>
          <w:u w:val="single"/>
          <w:lang w:val="en-GB"/>
        </w:rPr>
      </w:pPr>
      <w:r w:rsidRPr="00913267">
        <w:rPr>
          <w:sz w:val="24"/>
          <w:u w:val="single"/>
          <w:lang w:val="en-GB"/>
        </w:rPr>
        <w:t>Underlying causes of</w:t>
      </w:r>
      <w:r w:rsidRPr="00913267">
        <w:rPr>
          <w:spacing w:val="-1"/>
          <w:sz w:val="24"/>
          <w:u w:val="single"/>
          <w:lang w:val="en-GB"/>
        </w:rPr>
        <w:t xml:space="preserve"> </w:t>
      </w:r>
      <w:r w:rsidRPr="00913267">
        <w:rPr>
          <w:sz w:val="24"/>
          <w:u w:val="single"/>
          <w:lang w:val="en-GB"/>
        </w:rPr>
        <w:t>dementia</w:t>
      </w:r>
    </w:p>
    <w:p w:rsidR="00F445A5" w:rsidRPr="00913267" w:rsidRDefault="00F445A5" w:rsidP="004430E6">
      <w:pPr>
        <w:pStyle w:val="BodyText"/>
        <w:spacing w:line="276" w:lineRule="auto"/>
        <w:jc w:val="both"/>
        <w:rPr>
          <w:b/>
          <w:lang w:val="en-GB"/>
        </w:rPr>
      </w:pPr>
    </w:p>
    <w:p w:rsidR="00F445A5" w:rsidRPr="00913267" w:rsidRDefault="00216872" w:rsidP="000A7417">
      <w:pPr>
        <w:pStyle w:val="BodyText"/>
        <w:tabs>
          <w:tab w:val="left" w:pos="6903"/>
        </w:tabs>
        <w:spacing w:line="276" w:lineRule="auto"/>
        <w:jc w:val="both"/>
        <w:rPr>
          <w:lang w:val="en-GB"/>
        </w:rPr>
      </w:pPr>
      <w:r w:rsidRPr="00913267">
        <w:rPr>
          <w:lang w:val="en-GB"/>
        </w:rPr>
        <w:t>The most common causes of dementia are age-related neurodegenerative processes. These refer to</w:t>
      </w:r>
      <w:r w:rsidR="0017216C" w:rsidRPr="00913267">
        <w:rPr>
          <w:lang w:val="en-GB"/>
        </w:rPr>
        <w:t xml:space="preserve"> diseases or injuries which affect the function of the brain. There are a number of such diseases which</w:t>
      </w:r>
      <w:r w:rsidR="0017216C" w:rsidRPr="00913267">
        <w:rPr>
          <w:spacing w:val="-18"/>
          <w:lang w:val="en-GB"/>
        </w:rPr>
        <w:t xml:space="preserve"> </w:t>
      </w:r>
      <w:r w:rsidR="0017216C" w:rsidRPr="00913267">
        <w:rPr>
          <w:lang w:val="en-GB"/>
        </w:rPr>
        <w:t>cause</w:t>
      </w:r>
      <w:r w:rsidR="0017216C" w:rsidRPr="00913267">
        <w:rPr>
          <w:spacing w:val="-3"/>
          <w:lang w:val="en-GB"/>
        </w:rPr>
        <w:t xml:space="preserve"> </w:t>
      </w:r>
      <w:r w:rsidRPr="00913267">
        <w:rPr>
          <w:lang w:val="en-GB"/>
        </w:rPr>
        <w:t>dementia. The</w:t>
      </w:r>
      <w:r w:rsidR="0017216C" w:rsidRPr="00913267">
        <w:rPr>
          <w:lang w:val="en-GB"/>
        </w:rPr>
        <w:t xml:space="preserve"> most common cause of dementia is Alzheimer’s disease, followed by vascular dementia. </w:t>
      </w:r>
    </w:p>
    <w:p w:rsidR="00F445A5" w:rsidRPr="00913267" w:rsidRDefault="00F445A5" w:rsidP="004430E6">
      <w:pPr>
        <w:spacing w:line="276" w:lineRule="auto"/>
        <w:rPr>
          <w:color w:val="FF0000"/>
          <w:lang w:val="en-GB"/>
        </w:rPr>
      </w:pPr>
    </w:p>
    <w:p w:rsidR="00F445A5" w:rsidRPr="00913267" w:rsidRDefault="0017216C" w:rsidP="000A7417">
      <w:pPr>
        <w:pStyle w:val="BodyText"/>
        <w:spacing w:line="276" w:lineRule="auto"/>
        <w:ind w:right="4"/>
        <w:jc w:val="both"/>
        <w:rPr>
          <w:lang w:val="en-GB"/>
        </w:rPr>
      </w:pPr>
      <w:r w:rsidRPr="00913267">
        <w:rPr>
          <w:lang w:val="en-GB"/>
        </w:rPr>
        <w:t xml:space="preserve">It is important to make a distinction between the different underlying causes of dementia because they vary in the range of symptoms suffered and the rate of progression of symptoms. The key features of the most common underlying causes </w:t>
      </w:r>
      <w:r w:rsidR="0013169D" w:rsidRPr="00913267">
        <w:rPr>
          <w:lang w:val="en-GB"/>
        </w:rPr>
        <w:t>of dementia are summarised as:</w:t>
      </w:r>
    </w:p>
    <w:p w:rsidR="00F445A5" w:rsidRPr="00913267" w:rsidRDefault="00F445A5" w:rsidP="000A7417">
      <w:pPr>
        <w:pStyle w:val="BodyText"/>
        <w:spacing w:line="276" w:lineRule="auto"/>
        <w:ind w:right="4"/>
        <w:jc w:val="both"/>
        <w:rPr>
          <w:lang w:val="en-GB"/>
        </w:rPr>
      </w:pPr>
    </w:p>
    <w:p w:rsidR="00F445A5" w:rsidRPr="00913267" w:rsidRDefault="0017216C" w:rsidP="000A7417">
      <w:pPr>
        <w:pStyle w:val="BodyText"/>
        <w:spacing w:line="276" w:lineRule="auto"/>
        <w:ind w:right="4"/>
        <w:jc w:val="both"/>
        <w:rPr>
          <w:lang w:val="en-GB"/>
        </w:rPr>
      </w:pPr>
      <w:r w:rsidRPr="00913267">
        <w:rPr>
          <w:u w:val="single"/>
          <w:lang w:val="en-GB"/>
        </w:rPr>
        <w:t>Alzheimer’s disease:</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The most common cause of</w:t>
      </w:r>
      <w:r w:rsidRPr="00913267">
        <w:rPr>
          <w:spacing w:val="-1"/>
          <w:sz w:val="24"/>
          <w:lang w:val="en-GB"/>
        </w:rPr>
        <w:t xml:space="preserve"> </w:t>
      </w:r>
      <w:r w:rsidRPr="00913267">
        <w:rPr>
          <w:sz w:val="24"/>
          <w:lang w:val="en-GB"/>
        </w:rPr>
        <w:t>dementia.</w:t>
      </w:r>
    </w:p>
    <w:p w:rsidR="00216872" w:rsidRPr="00913267" w:rsidRDefault="00216872" w:rsidP="000A7417">
      <w:pPr>
        <w:pStyle w:val="ListParagraph"/>
        <w:numPr>
          <w:ilvl w:val="2"/>
          <w:numId w:val="10"/>
        </w:numPr>
        <w:spacing w:line="276" w:lineRule="auto"/>
        <w:ind w:left="567" w:right="4" w:hanging="283"/>
        <w:jc w:val="both"/>
        <w:rPr>
          <w:sz w:val="24"/>
          <w:lang w:val="en-GB"/>
        </w:rPr>
      </w:pPr>
      <w:r w:rsidRPr="00913267">
        <w:rPr>
          <w:sz w:val="24"/>
          <w:lang w:val="en-GB"/>
        </w:rPr>
        <w:t xml:space="preserve">Damaged tissue builds up in the brain to form deposits called ‘plaques’ and ‘tangles’. These cause the brain cells around them to die. </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Characterised by a gradual progression of</w:t>
      </w:r>
      <w:r w:rsidRPr="00913267">
        <w:rPr>
          <w:spacing w:val="-1"/>
          <w:sz w:val="24"/>
          <w:lang w:val="en-GB"/>
        </w:rPr>
        <w:t xml:space="preserve"> </w:t>
      </w:r>
      <w:r w:rsidRPr="00913267">
        <w:rPr>
          <w:sz w:val="24"/>
          <w:lang w:val="en-GB"/>
        </w:rPr>
        <w:t>symptoms.</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The first symptoms to appear are usually a loss of</w:t>
      </w:r>
      <w:r w:rsidRPr="00913267">
        <w:rPr>
          <w:spacing w:val="-6"/>
          <w:sz w:val="24"/>
          <w:lang w:val="en-GB"/>
        </w:rPr>
        <w:t xml:space="preserve"> </w:t>
      </w:r>
      <w:r w:rsidRPr="00913267">
        <w:rPr>
          <w:sz w:val="24"/>
          <w:lang w:val="en-GB"/>
        </w:rPr>
        <w:t>memory.</w:t>
      </w:r>
    </w:p>
    <w:p w:rsidR="00216872" w:rsidRPr="00913267" w:rsidRDefault="00216872" w:rsidP="000A7417">
      <w:pPr>
        <w:pStyle w:val="ListParagraph"/>
        <w:numPr>
          <w:ilvl w:val="2"/>
          <w:numId w:val="10"/>
        </w:numPr>
        <w:spacing w:line="276" w:lineRule="auto"/>
        <w:ind w:left="567" w:right="4" w:hanging="283"/>
        <w:jc w:val="both"/>
        <w:rPr>
          <w:sz w:val="24"/>
          <w:lang w:val="en-GB"/>
        </w:rPr>
      </w:pPr>
      <w:r w:rsidRPr="00913267">
        <w:rPr>
          <w:sz w:val="24"/>
          <w:lang w:val="en-GB"/>
        </w:rPr>
        <w:t xml:space="preserve">Learning new information becomes harder </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As symptoms progress, the person will have increasing difficulty</w:t>
      </w:r>
      <w:r w:rsidRPr="00913267">
        <w:rPr>
          <w:spacing w:val="-33"/>
          <w:sz w:val="24"/>
          <w:lang w:val="en-GB"/>
        </w:rPr>
        <w:t xml:space="preserve"> </w:t>
      </w:r>
      <w:r w:rsidRPr="00913267">
        <w:rPr>
          <w:sz w:val="24"/>
          <w:lang w:val="en-GB"/>
        </w:rPr>
        <w:t>carrying out daily</w:t>
      </w:r>
      <w:r w:rsidRPr="00913267">
        <w:rPr>
          <w:spacing w:val="-2"/>
          <w:sz w:val="24"/>
          <w:lang w:val="en-GB"/>
        </w:rPr>
        <w:t xml:space="preserve"> </w:t>
      </w:r>
      <w:r w:rsidRPr="00913267">
        <w:rPr>
          <w:sz w:val="24"/>
          <w:lang w:val="en-GB"/>
        </w:rPr>
        <w:t>functions.</w:t>
      </w:r>
    </w:p>
    <w:p w:rsidR="00F445A5" w:rsidRPr="00913267" w:rsidRDefault="00F445A5" w:rsidP="000A7417">
      <w:pPr>
        <w:pStyle w:val="BodyText"/>
        <w:spacing w:line="276" w:lineRule="auto"/>
        <w:ind w:right="4"/>
        <w:jc w:val="both"/>
        <w:rPr>
          <w:sz w:val="23"/>
          <w:lang w:val="en-GB"/>
        </w:rPr>
      </w:pPr>
    </w:p>
    <w:p w:rsidR="00F445A5" w:rsidRPr="00913267" w:rsidRDefault="0017216C" w:rsidP="000A7417">
      <w:pPr>
        <w:pStyle w:val="BodyText"/>
        <w:spacing w:line="276" w:lineRule="auto"/>
        <w:ind w:right="4"/>
        <w:jc w:val="both"/>
        <w:rPr>
          <w:lang w:val="en-GB"/>
        </w:rPr>
      </w:pPr>
      <w:r w:rsidRPr="00913267">
        <w:rPr>
          <w:u w:val="single"/>
          <w:lang w:val="en-GB"/>
        </w:rPr>
        <w:t>Vascular dementia</w:t>
      </w:r>
    </w:p>
    <w:p w:rsidR="00F445A5" w:rsidRPr="00913267" w:rsidRDefault="00216872" w:rsidP="000A7417">
      <w:pPr>
        <w:pStyle w:val="ListParagraph"/>
        <w:numPr>
          <w:ilvl w:val="2"/>
          <w:numId w:val="10"/>
        </w:numPr>
        <w:spacing w:line="276" w:lineRule="auto"/>
        <w:ind w:left="567" w:right="4" w:hanging="283"/>
        <w:jc w:val="both"/>
        <w:rPr>
          <w:sz w:val="24"/>
          <w:lang w:val="en-GB"/>
        </w:rPr>
      </w:pPr>
      <w:r w:rsidRPr="00913267">
        <w:rPr>
          <w:sz w:val="24"/>
          <w:lang w:val="en-GB"/>
        </w:rPr>
        <w:t xml:space="preserve">This </w:t>
      </w:r>
      <w:r w:rsidR="0013169D" w:rsidRPr="00913267">
        <w:rPr>
          <w:sz w:val="24"/>
          <w:lang w:val="en-GB"/>
        </w:rPr>
        <w:t xml:space="preserve">is </w:t>
      </w:r>
      <w:r w:rsidRPr="00913267">
        <w:rPr>
          <w:sz w:val="24"/>
          <w:lang w:val="en-GB"/>
        </w:rPr>
        <w:t>when the arteries supplying blood to the brain become blocked</w:t>
      </w:r>
    </w:p>
    <w:p w:rsidR="00216872" w:rsidRPr="00913267" w:rsidRDefault="00216872" w:rsidP="000A7417">
      <w:pPr>
        <w:pStyle w:val="ListParagraph"/>
        <w:numPr>
          <w:ilvl w:val="2"/>
          <w:numId w:val="10"/>
        </w:numPr>
        <w:spacing w:line="276" w:lineRule="auto"/>
        <w:ind w:left="567" w:right="4" w:hanging="283"/>
        <w:jc w:val="both"/>
        <w:rPr>
          <w:sz w:val="24"/>
          <w:lang w:val="en-GB"/>
        </w:rPr>
      </w:pPr>
      <w:r w:rsidRPr="00913267">
        <w:rPr>
          <w:sz w:val="24"/>
          <w:lang w:val="en-GB"/>
        </w:rPr>
        <w:t>This leads to small or big strokes</w:t>
      </w:r>
    </w:p>
    <w:p w:rsidR="00216872" w:rsidRPr="00913267" w:rsidRDefault="00216872" w:rsidP="000A7417">
      <w:pPr>
        <w:pStyle w:val="ListParagraph"/>
        <w:numPr>
          <w:ilvl w:val="2"/>
          <w:numId w:val="10"/>
        </w:numPr>
        <w:spacing w:line="276" w:lineRule="auto"/>
        <w:ind w:left="567" w:right="4" w:hanging="283"/>
        <w:jc w:val="both"/>
        <w:rPr>
          <w:sz w:val="24"/>
          <w:lang w:val="en-GB"/>
        </w:rPr>
      </w:pPr>
      <w:r w:rsidRPr="00913267">
        <w:rPr>
          <w:sz w:val="24"/>
          <w:lang w:val="en-GB"/>
        </w:rPr>
        <w:t>Parts of the brain die as they are starved of oxygen.</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Unlike Alzheimer’s, progression of symptoms may be sudden (after a stroke) or step-wise rather than</w:t>
      </w:r>
      <w:r w:rsidRPr="00913267">
        <w:rPr>
          <w:spacing w:val="-7"/>
          <w:sz w:val="24"/>
          <w:lang w:val="en-GB"/>
        </w:rPr>
        <w:t xml:space="preserve"> </w:t>
      </w:r>
      <w:r w:rsidRPr="00913267">
        <w:rPr>
          <w:sz w:val="24"/>
          <w:lang w:val="en-GB"/>
        </w:rPr>
        <w:t>gradual.</w:t>
      </w:r>
    </w:p>
    <w:p w:rsidR="00F445A5" w:rsidRPr="00913267" w:rsidRDefault="00F445A5" w:rsidP="000A7417">
      <w:pPr>
        <w:pStyle w:val="BodyText"/>
        <w:spacing w:line="276" w:lineRule="auto"/>
        <w:ind w:right="4"/>
        <w:jc w:val="both"/>
        <w:rPr>
          <w:sz w:val="23"/>
          <w:lang w:val="en-GB"/>
        </w:rPr>
      </w:pPr>
    </w:p>
    <w:p w:rsidR="00F445A5" w:rsidRPr="00913267" w:rsidRDefault="0017216C" w:rsidP="000A7417">
      <w:pPr>
        <w:pStyle w:val="BodyText"/>
        <w:spacing w:line="276" w:lineRule="auto"/>
        <w:ind w:right="4"/>
        <w:jc w:val="both"/>
        <w:rPr>
          <w:lang w:val="en-GB"/>
        </w:rPr>
      </w:pPr>
      <w:r w:rsidRPr="00913267">
        <w:rPr>
          <w:u w:val="single"/>
          <w:lang w:val="en-GB"/>
        </w:rPr>
        <w:t xml:space="preserve">Dementia with </w:t>
      </w:r>
      <w:proofErr w:type="spellStart"/>
      <w:r w:rsidRPr="00913267">
        <w:rPr>
          <w:u w:val="single"/>
          <w:lang w:val="en-GB"/>
        </w:rPr>
        <w:t>Lewy</w:t>
      </w:r>
      <w:proofErr w:type="spellEnd"/>
      <w:r w:rsidRPr="00913267">
        <w:rPr>
          <w:u w:val="single"/>
          <w:lang w:val="en-GB"/>
        </w:rPr>
        <w:t xml:space="preserve"> bodies:</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Associated with protein deposits that develop inside nerve cells in the brain and affect the function of the brain</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Type of dementia may have symptoms similar to those of Parkinson’s disease, such as tremors and slowness of</w:t>
      </w:r>
      <w:r w:rsidRPr="00913267">
        <w:rPr>
          <w:spacing w:val="-3"/>
          <w:sz w:val="24"/>
          <w:lang w:val="en-GB"/>
        </w:rPr>
        <w:t xml:space="preserve"> </w:t>
      </w:r>
      <w:r w:rsidRPr="00913267">
        <w:rPr>
          <w:sz w:val="24"/>
          <w:lang w:val="en-GB"/>
        </w:rPr>
        <w:t>movement.</w:t>
      </w:r>
    </w:p>
    <w:p w:rsidR="00F445A5" w:rsidRPr="00913267" w:rsidRDefault="0017216C" w:rsidP="000A7417">
      <w:pPr>
        <w:pStyle w:val="ListParagraph"/>
        <w:numPr>
          <w:ilvl w:val="2"/>
          <w:numId w:val="10"/>
        </w:numPr>
        <w:spacing w:line="276" w:lineRule="auto"/>
        <w:ind w:left="567" w:right="4" w:hanging="283"/>
        <w:jc w:val="both"/>
        <w:rPr>
          <w:sz w:val="24"/>
          <w:lang w:val="en-GB"/>
        </w:rPr>
      </w:pPr>
      <w:r w:rsidRPr="00913267">
        <w:rPr>
          <w:sz w:val="24"/>
          <w:lang w:val="en-GB"/>
        </w:rPr>
        <w:t>The disease is progressive, although a person’s level of function</w:t>
      </w:r>
      <w:r w:rsidRPr="00913267">
        <w:rPr>
          <w:spacing w:val="-29"/>
          <w:sz w:val="24"/>
          <w:lang w:val="en-GB"/>
        </w:rPr>
        <w:t xml:space="preserve"> </w:t>
      </w:r>
      <w:r w:rsidRPr="00913267">
        <w:rPr>
          <w:sz w:val="24"/>
          <w:lang w:val="en-GB"/>
        </w:rPr>
        <w:t>may fluctuate on an hourly</w:t>
      </w:r>
      <w:r w:rsidRPr="00913267">
        <w:rPr>
          <w:spacing w:val="-2"/>
          <w:sz w:val="24"/>
          <w:lang w:val="en-GB"/>
        </w:rPr>
        <w:t xml:space="preserve"> </w:t>
      </w:r>
      <w:r w:rsidRPr="00913267">
        <w:rPr>
          <w:sz w:val="24"/>
          <w:lang w:val="en-GB"/>
        </w:rPr>
        <w:t>basis.</w:t>
      </w:r>
    </w:p>
    <w:p w:rsidR="00F445A5" w:rsidRPr="00913267" w:rsidRDefault="00F445A5" w:rsidP="000A7417">
      <w:pPr>
        <w:pStyle w:val="BodyText"/>
        <w:spacing w:line="276" w:lineRule="auto"/>
        <w:ind w:right="4"/>
        <w:jc w:val="both"/>
        <w:rPr>
          <w:sz w:val="23"/>
          <w:lang w:val="en-GB"/>
        </w:rPr>
      </w:pPr>
    </w:p>
    <w:p w:rsidR="00F445A5" w:rsidRPr="00913267" w:rsidRDefault="00216872" w:rsidP="000A7417">
      <w:pPr>
        <w:pStyle w:val="BodyText"/>
        <w:spacing w:line="276" w:lineRule="auto"/>
        <w:ind w:right="4"/>
        <w:jc w:val="both"/>
        <w:rPr>
          <w:lang w:val="en-GB"/>
        </w:rPr>
      </w:pPr>
      <w:r w:rsidRPr="00913267">
        <w:rPr>
          <w:u w:val="single"/>
          <w:lang w:val="en-GB"/>
        </w:rPr>
        <w:t>Front temporal</w:t>
      </w:r>
      <w:r w:rsidR="0017216C" w:rsidRPr="00913267">
        <w:rPr>
          <w:u w:val="single"/>
          <w:lang w:val="en-GB"/>
        </w:rPr>
        <w:t xml:space="preserve"> dementia</w:t>
      </w:r>
    </w:p>
    <w:p w:rsidR="00F445A5" w:rsidRPr="00913267" w:rsidRDefault="0017216C" w:rsidP="000A7417">
      <w:pPr>
        <w:pStyle w:val="ListParagraph"/>
        <w:numPr>
          <w:ilvl w:val="2"/>
          <w:numId w:val="10"/>
        </w:numPr>
        <w:tabs>
          <w:tab w:val="left" w:pos="939"/>
          <w:tab w:val="left" w:pos="940"/>
        </w:tabs>
        <w:spacing w:line="276" w:lineRule="auto"/>
        <w:ind w:left="567" w:right="4" w:hanging="283"/>
        <w:jc w:val="both"/>
        <w:rPr>
          <w:sz w:val="24"/>
          <w:lang w:val="en-GB"/>
        </w:rPr>
      </w:pPr>
      <w:r w:rsidRPr="00913267">
        <w:rPr>
          <w:sz w:val="24"/>
          <w:lang w:val="en-GB"/>
        </w:rPr>
        <w:t>Is rare, and can be caused by a number of degenerative</w:t>
      </w:r>
      <w:r w:rsidRPr="00913267">
        <w:rPr>
          <w:spacing w:val="-28"/>
          <w:sz w:val="24"/>
          <w:lang w:val="en-GB"/>
        </w:rPr>
        <w:t xml:space="preserve"> </w:t>
      </w:r>
      <w:r w:rsidRPr="00913267">
        <w:rPr>
          <w:sz w:val="24"/>
          <w:lang w:val="en-GB"/>
        </w:rPr>
        <w:t>diseases affecting the brain including Pick’s</w:t>
      </w:r>
      <w:r w:rsidRPr="00913267">
        <w:rPr>
          <w:spacing w:val="-7"/>
          <w:sz w:val="24"/>
          <w:lang w:val="en-GB"/>
        </w:rPr>
        <w:t xml:space="preserve"> </w:t>
      </w:r>
      <w:r w:rsidRPr="00913267">
        <w:rPr>
          <w:sz w:val="24"/>
          <w:lang w:val="en-GB"/>
        </w:rPr>
        <w:t>disease.</w:t>
      </w:r>
    </w:p>
    <w:p w:rsidR="00F445A5" w:rsidRPr="00913267" w:rsidRDefault="0017216C" w:rsidP="000A7417">
      <w:pPr>
        <w:pStyle w:val="ListParagraph"/>
        <w:numPr>
          <w:ilvl w:val="2"/>
          <w:numId w:val="10"/>
        </w:numPr>
        <w:tabs>
          <w:tab w:val="left" w:pos="939"/>
          <w:tab w:val="left" w:pos="940"/>
        </w:tabs>
        <w:spacing w:line="276" w:lineRule="auto"/>
        <w:ind w:left="567" w:right="4" w:hanging="283"/>
        <w:jc w:val="both"/>
        <w:rPr>
          <w:sz w:val="24"/>
          <w:lang w:val="en-GB"/>
        </w:rPr>
      </w:pPr>
      <w:r w:rsidRPr="00913267">
        <w:rPr>
          <w:sz w:val="24"/>
          <w:lang w:val="en-GB"/>
        </w:rPr>
        <w:t>In the early stages of disease, memory is often intact, but personality</w:t>
      </w:r>
      <w:r w:rsidRPr="00913267">
        <w:rPr>
          <w:spacing w:val="-32"/>
          <w:sz w:val="24"/>
          <w:lang w:val="en-GB"/>
        </w:rPr>
        <w:t xml:space="preserve"> </w:t>
      </w:r>
      <w:r w:rsidRPr="00913267">
        <w:rPr>
          <w:sz w:val="24"/>
          <w:lang w:val="en-GB"/>
        </w:rPr>
        <w:t xml:space="preserve">and </w:t>
      </w:r>
      <w:r w:rsidR="00216872" w:rsidRPr="00913267">
        <w:rPr>
          <w:sz w:val="24"/>
          <w:lang w:val="en-GB"/>
        </w:rPr>
        <w:t>behavio</w:t>
      </w:r>
      <w:r w:rsidR="0013169D" w:rsidRPr="00913267">
        <w:rPr>
          <w:sz w:val="24"/>
          <w:lang w:val="en-GB"/>
        </w:rPr>
        <w:t>u</w:t>
      </w:r>
      <w:r w:rsidR="00216872" w:rsidRPr="00913267">
        <w:rPr>
          <w:sz w:val="24"/>
          <w:lang w:val="en-GB"/>
        </w:rPr>
        <w:t>r</w:t>
      </w:r>
      <w:r w:rsidRPr="00913267">
        <w:rPr>
          <w:sz w:val="24"/>
          <w:lang w:val="en-GB"/>
        </w:rPr>
        <w:t xml:space="preserve"> change are apparent.</w:t>
      </w:r>
    </w:p>
    <w:p w:rsidR="00F445A5" w:rsidRPr="00913267" w:rsidRDefault="0017216C" w:rsidP="000A7417">
      <w:pPr>
        <w:pStyle w:val="ListParagraph"/>
        <w:numPr>
          <w:ilvl w:val="2"/>
          <w:numId w:val="10"/>
        </w:numPr>
        <w:tabs>
          <w:tab w:val="left" w:pos="939"/>
          <w:tab w:val="left" w:pos="940"/>
        </w:tabs>
        <w:spacing w:line="276" w:lineRule="auto"/>
        <w:ind w:left="567" w:right="4" w:hanging="283"/>
        <w:jc w:val="both"/>
        <w:rPr>
          <w:sz w:val="24"/>
          <w:lang w:val="en-GB"/>
        </w:rPr>
      </w:pPr>
      <w:r w:rsidRPr="00913267">
        <w:rPr>
          <w:sz w:val="24"/>
          <w:lang w:val="en-GB"/>
        </w:rPr>
        <w:t>Incontinence may be a relatively early feature of the</w:t>
      </w:r>
      <w:r w:rsidRPr="00913267">
        <w:rPr>
          <w:spacing w:val="-8"/>
          <w:sz w:val="24"/>
          <w:lang w:val="en-GB"/>
        </w:rPr>
        <w:t xml:space="preserve"> </w:t>
      </w:r>
      <w:r w:rsidRPr="00913267">
        <w:rPr>
          <w:sz w:val="24"/>
          <w:lang w:val="en-GB"/>
        </w:rPr>
        <w:t>disease.</w:t>
      </w:r>
    </w:p>
    <w:p w:rsidR="00216872" w:rsidRPr="00913267" w:rsidRDefault="00216872" w:rsidP="000A7417">
      <w:pPr>
        <w:pStyle w:val="ListParagraph"/>
        <w:numPr>
          <w:ilvl w:val="2"/>
          <w:numId w:val="10"/>
        </w:numPr>
        <w:tabs>
          <w:tab w:val="left" w:pos="939"/>
          <w:tab w:val="left" w:pos="940"/>
        </w:tabs>
        <w:spacing w:line="276" w:lineRule="auto"/>
        <w:ind w:left="567" w:right="4" w:hanging="283"/>
        <w:jc w:val="both"/>
        <w:rPr>
          <w:sz w:val="24"/>
          <w:lang w:val="en-GB"/>
        </w:rPr>
      </w:pPr>
      <w:r w:rsidRPr="00913267">
        <w:rPr>
          <w:sz w:val="24"/>
          <w:lang w:val="en-GB"/>
        </w:rPr>
        <w:t>This often starts in people in their 50s and 60s.</w:t>
      </w:r>
    </w:p>
    <w:p w:rsidR="00F445A5" w:rsidRPr="00913267" w:rsidRDefault="00F445A5" w:rsidP="000A7417">
      <w:pPr>
        <w:pStyle w:val="BodyText"/>
        <w:spacing w:line="276" w:lineRule="auto"/>
        <w:ind w:left="567" w:right="4" w:hanging="283"/>
        <w:jc w:val="both"/>
        <w:rPr>
          <w:sz w:val="28"/>
          <w:lang w:val="en-GB"/>
        </w:rPr>
      </w:pPr>
    </w:p>
    <w:p w:rsidR="00216872" w:rsidRPr="00913267" w:rsidRDefault="00216872" w:rsidP="000A7417">
      <w:pPr>
        <w:pStyle w:val="BodyText"/>
        <w:spacing w:line="276" w:lineRule="auto"/>
        <w:ind w:right="4"/>
        <w:jc w:val="both"/>
        <w:rPr>
          <w:u w:val="single"/>
          <w:lang w:val="en-GB"/>
        </w:rPr>
      </w:pPr>
      <w:r w:rsidRPr="00913267">
        <w:rPr>
          <w:u w:val="single"/>
          <w:lang w:val="en-GB"/>
        </w:rPr>
        <w:t>Mild cognitive impairment</w:t>
      </w:r>
    </w:p>
    <w:p w:rsidR="00216872" w:rsidRPr="00913267" w:rsidRDefault="00347D27" w:rsidP="000A7417">
      <w:pPr>
        <w:pStyle w:val="BodyText"/>
        <w:numPr>
          <w:ilvl w:val="0"/>
          <w:numId w:val="13"/>
        </w:numPr>
        <w:spacing w:line="276" w:lineRule="auto"/>
        <w:ind w:left="567" w:right="4" w:hanging="283"/>
        <w:jc w:val="both"/>
        <w:rPr>
          <w:lang w:val="en-GB"/>
        </w:rPr>
      </w:pPr>
      <w:r w:rsidRPr="00913267">
        <w:rPr>
          <w:lang w:val="en-GB"/>
        </w:rPr>
        <w:t>When</w:t>
      </w:r>
      <w:r w:rsidR="00216872" w:rsidRPr="00913267">
        <w:rPr>
          <w:lang w:val="en-GB"/>
        </w:rPr>
        <w:t xml:space="preserve"> memory problems are more than you would expect for your age, but not bad enough to be called dementia. About 1 in 3 people with this problem may develop dementia</w:t>
      </w:r>
    </w:p>
    <w:p w:rsidR="000A7417" w:rsidRPr="00913267" w:rsidRDefault="000A7417" w:rsidP="000A7417">
      <w:pPr>
        <w:pStyle w:val="BodyText"/>
        <w:spacing w:line="276" w:lineRule="auto"/>
        <w:ind w:right="4"/>
        <w:jc w:val="both"/>
        <w:rPr>
          <w:lang w:val="en-GB"/>
        </w:rPr>
      </w:pPr>
      <w:r w:rsidRPr="00913267">
        <w:rPr>
          <w:lang w:val="en-GB"/>
        </w:rPr>
        <w:t xml:space="preserve"> </w:t>
      </w:r>
    </w:p>
    <w:p w:rsidR="000A7417" w:rsidRPr="00913267" w:rsidRDefault="000A7417" w:rsidP="000A7417">
      <w:pPr>
        <w:pStyle w:val="BodyText"/>
        <w:spacing w:line="276" w:lineRule="auto"/>
        <w:ind w:right="4"/>
        <w:jc w:val="both"/>
        <w:rPr>
          <w:lang w:val="en-GB"/>
        </w:rPr>
      </w:pPr>
    </w:p>
    <w:p w:rsidR="00F445A5" w:rsidRPr="00913267" w:rsidRDefault="000A7417" w:rsidP="000A7417">
      <w:pPr>
        <w:pStyle w:val="BodyText"/>
        <w:spacing w:line="276" w:lineRule="auto"/>
        <w:ind w:right="4"/>
        <w:jc w:val="both"/>
        <w:rPr>
          <w:lang w:val="en-GB"/>
        </w:rPr>
      </w:pPr>
      <w:r w:rsidRPr="00913267">
        <w:rPr>
          <w:b/>
          <w:lang w:val="en-GB"/>
        </w:rPr>
        <w:t>RISK FACTORS FOR</w:t>
      </w:r>
      <w:r w:rsidRPr="00913267">
        <w:rPr>
          <w:b/>
          <w:spacing w:val="1"/>
          <w:lang w:val="en-GB"/>
        </w:rPr>
        <w:t xml:space="preserve"> </w:t>
      </w:r>
      <w:r w:rsidRPr="00913267">
        <w:rPr>
          <w:b/>
          <w:lang w:val="en-GB"/>
        </w:rPr>
        <w:t>DEMENTIA</w:t>
      </w:r>
    </w:p>
    <w:p w:rsidR="00F445A5" w:rsidRPr="00913267" w:rsidRDefault="00F445A5" w:rsidP="000A7417">
      <w:pPr>
        <w:pStyle w:val="BodyText"/>
        <w:spacing w:line="276" w:lineRule="auto"/>
        <w:ind w:right="4"/>
        <w:jc w:val="both"/>
        <w:rPr>
          <w:b/>
          <w:lang w:val="en-GB"/>
        </w:rPr>
      </w:pPr>
    </w:p>
    <w:p w:rsidR="00064AF7" w:rsidRPr="00913267" w:rsidRDefault="00064AF7" w:rsidP="000A7417">
      <w:pPr>
        <w:pStyle w:val="BodyText"/>
        <w:spacing w:line="276" w:lineRule="auto"/>
        <w:ind w:right="4"/>
        <w:jc w:val="both"/>
        <w:rPr>
          <w:lang w:val="en-GB"/>
        </w:rPr>
      </w:pPr>
      <w:r w:rsidRPr="00913267">
        <w:rPr>
          <w:lang w:val="en-GB"/>
        </w:rPr>
        <w:t xml:space="preserve">Risk factor in this context means anything that can increase a person’s risk of developing dementia. Some of these factors can be avoided </w:t>
      </w:r>
      <w:r w:rsidR="00A554B4" w:rsidRPr="00913267">
        <w:rPr>
          <w:lang w:val="en-GB"/>
        </w:rPr>
        <w:t>or managed but s</w:t>
      </w:r>
      <w:r w:rsidRPr="00913267">
        <w:rPr>
          <w:lang w:val="en-GB"/>
        </w:rPr>
        <w:t>ome are impossible to control</w:t>
      </w:r>
      <w:r w:rsidR="0013169D" w:rsidRPr="00913267">
        <w:rPr>
          <w:lang w:val="en-GB"/>
        </w:rPr>
        <w:t>.</w:t>
      </w:r>
      <w:r w:rsidR="00A554B4" w:rsidRPr="00913267">
        <w:rPr>
          <w:lang w:val="en-GB"/>
        </w:rPr>
        <w:t xml:space="preserve"> For </w:t>
      </w:r>
      <w:r w:rsidRPr="00913267">
        <w:rPr>
          <w:lang w:val="en-GB"/>
        </w:rPr>
        <w:t>example</w:t>
      </w:r>
      <w:r w:rsidR="00A554B4" w:rsidRPr="00913267">
        <w:rPr>
          <w:lang w:val="en-GB"/>
        </w:rPr>
        <w:t>;</w:t>
      </w:r>
      <w:r w:rsidRPr="00913267">
        <w:rPr>
          <w:lang w:val="en-GB"/>
        </w:rPr>
        <w:t xml:space="preserve"> high blood pressure can cause strokes and strokes can cause vascular dementia, high blood pressure is a risk factor for vascular dementia. </w:t>
      </w:r>
    </w:p>
    <w:p w:rsidR="00064AF7" w:rsidRPr="00913267" w:rsidRDefault="00064AF7" w:rsidP="000A7417">
      <w:pPr>
        <w:pStyle w:val="BodyText"/>
        <w:spacing w:line="276" w:lineRule="auto"/>
        <w:ind w:right="4"/>
        <w:jc w:val="both"/>
        <w:rPr>
          <w:lang w:val="en-GB"/>
        </w:rPr>
      </w:pPr>
    </w:p>
    <w:p w:rsidR="00F445A5" w:rsidRPr="00913267" w:rsidRDefault="0017216C" w:rsidP="000A7417">
      <w:pPr>
        <w:pStyle w:val="BodyText"/>
        <w:spacing w:line="276" w:lineRule="auto"/>
        <w:ind w:right="4"/>
        <w:jc w:val="both"/>
        <w:rPr>
          <w:lang w:val="en-GB"/>
        </w:rPr>
      </w:pPr>
      <w:r w:rsidRPr="00913267">
        <w:rPr>
          <w:lang w:val="en-GB"/>
        </w:rPr>
        <w:t>The most important non-modifiable risk factor for dementia is age. A number of modifiable risk factors for dementia exist. These include the risk factors for vascular diseases, such as diabetes, hypertension, smoking and high cholesterol, which all increase the likelihood of both vascular dementia and Alzheimer’s disease.</w:t>
      </w:r>
      <w:r w:rsidR="00A554B4" w:rsidRPr="00913267">
        <w:rPr>
          <w:lang w:val="en-GB"/>
        </w:rPr>
        <w:t xml:space="preserve"> </w:t>
      </w:r>
      <w:r w:rsidRPr="00913267">
        <w:rPr>
          <w:lang w:val="en-GB"/>
        </w:rPr>
        <w:t>Excessive alcohol consumption is also an important modifiable risk factor.</w:t>
      </w:r>
    </w:p>
    <w:p w:rsidR="00F445A5" w:rsidRPr="00913267" w:rsidRDefault="00F445A5" w:rsidP="000A7417">
      <w:pPr>
        <w:spacing w:line="276" w:lineRule="auto"/>
        <w:ind w:right="4"/>
        <w:jc w:val="both"/>
        <w:rPr>
          <w:lang w:val="en-GB"/>
        </w:rPr>
      </w:pPr>
    </w:p>
    <w:p w:rsidR="00F445A5" w:rsidRPr="00913267" w:rsidRDefault="0017216C" w:rsidP="00A554B4">
      <w:pPr>
        <w:pStyle w:val="BodyText"/>
        <w:spacing w:line="276" w:lineRule="auto"/>
        <w:rPr>
          <w:lang w:val="en-GB"/>
        </w:rPr>
      </w:pPr>
      <w:r w:rsidRPr="00913267">
        <w:rPr>
          <w:u w:val="single"/>
          <w:lang w:val="en-GB"/>
        </w:rPr>
        <w:t>Risk factors for dementia</w:t>
      </w:r>
    </w:p>
    <w:p w:rsidR="00F445A5" w:rsidRPr="00913267" w:rsidRDefault="00F445A5" w:rsidP="00117BFD">
      <w:pPr>
        <w:pStyle w:val="BodyText"/>
        <w:spacing w:line="276" w:lineRule="auto"/>
        <w:rPr>
          <w:lang w:val="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5702"/>
      </w:tblGrid>
      <w:tr w:rsidR="00113AE7" w:rsidRPr="008A01FC" w:rsidTr="008A01FC">
        <w:trPr>
          <w:trHeight w:val="275"/>
        </w:trPr>
        <w:tc>
          <w:tcPr>
            <w:tcW w:w="3154" w:type="dxa"/>
            <w:shd w:val="clear" w:color="auto" w:fill="DBE5F1" w:themeFill="accent1" w:themeFillTint="33"/>
          </w:tcPr>
          <w:p w:rsidR="00F445A5" w:rsidRPr="008A01FC" w:rsidRDefault="0017216C" w:rsidP="00117BFD">
            <w:pPr>
              <w:pStyle w:val="TableParagraph"/>
              <w:spacing w:line="276" w:lineRule="auto"/>
              <w:rPr>
                <w:b/>
                <w:sz w:val="20"/>
                <w:lang w:val="en-GB"/>
              </w:rPr>
            </w:pPr>
            <w:r w:rsidRPr="008A01FC">
              <w:rPr>
                <w:b/>
                <w:sz w:val="20"/>
                <w:lang w:val="en-GB"/>
              </w:rPr>
              <w:t>Risk factor</w:t>
            </w:r>
          </w:p>
        </w:tc>
        <w:tc>
          <w:tcPr>
            <w:tcW w:w="5702" w:type="dxa"/>
            <w:shd w:val="clear" w:color="auto" w:fill="DBE5F1" w:themeFill="accent1" w:themeFillTint="33"/>
          </w:tcPr>
          <w:p w:rsidR="00F445A5" w:rsidRPr="008A01FC" w:rsidRDefault="0017216C" w:rsidP="00117BFD">
            <w:pPr>
              <w:pStyle w:val="TableParagraph"/>
              <w:spacing w:line="276" w:lineRule="auto"/>
              <w:rPr>
                <w:b/>
                <w:sz w:val="20"/>
                <w:lang w:val="en-GB"/>
              </w:rPr>
            </w:pPr>
            <w:r w:rsidRPr="008A01FC">
              <w:rPr>
                <w:b/>
                <w:sz w:val="20"/>
                <w:lang w:val="en-GB"/>
              </w:rPr>
              <w:t>Comments</w:t>
            </w:r>
          </w:p>
        </w:tc>
      </w:tr>
      <w:tr w:rsidR="00113AE7" w:rsidRPr="008A01FC" w:rsidTr="008A01FC">
        <w:trPr>
          <w:trHeight w:val="275"/>
        </w:trPr>
        <w:tc>
          <w:tcPr>
            <w:tcW w:w="3154" w:type="dxa"/>
            <w:shd w:val="clear" w:color="auto" w:fill="DBE5F1" w:themeFill="accent1" w:themeFillTint="33"/>
          </w:tcPr>
          <w:p w:rsidR="00F445A5" w:rsidRPr="008A01FC" w:rsidRDefault="0017216C" w:rsidP="00117BFD">
            <w:pPr>
              <w:pStyle w:val="TableParagraph"/>
              <w:spacing w:line="276" w:lineRule="auto"/>
              <w:rPr>
                <w:b/>
                <w:sz w:val="20"/>
                <w:lang w:val="en-GB"/>
              </w:rPr>
            </w:pPr>
            <w:r w:rsidRPr="008A01FC">
              <w:rPr>
                <w:b/>
                <w:sz w:val="20"/>
                <w:lang w:val="en-GB"/>
              </w:rPr>
              <w:t>Non-modifiable risk factors</w:t>
            </w:r>
          </w:p>
        </w:tc>
        <w:tc>
          <w:tcPr>
            <w:tcW w:w="5702" w:type="dxa"/>
            <w:shd w:val="clear" w:color="auto" w:fill="DBE5F1" w:themeFill="accent1" w:themeFillTint="33"/>
          </w:tcPr>
          <w:p w:rsidR="00F445A5" w:rsidRPr="008A01FC" w:rsidRDefault="00F445A5" w:rsidP="00117BFD">
            <w:pPr>
              <w:pStyle w:val="TableParagraph"/>
              <w:spacing w:line="276" w:lineRule="auto"/>
              <w:ind w:left="0"/>
              <w:rPr>
                <w:rFonts w:ascii="Times New Roman"/>
                <w:sz w:val="20"/>
                <w:lang w:val="en-GB"/>
              </w:rPr>
            </w:pPr>
          </w:p>
        </w:tc>
      </w:tr>
      <w:tr w:rsidR="00113AE7" w:rsidRPr="008A01FC" w:rsidTr="008A01FC">
        <w:trPr>
          <w:trHeight w:val="551"/>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Age</w:t>
            </w:r>
          </w:p>
        </w:tc>
        <w:tc>
          <w:tcPr>
            <w:tcW w:w="5702" w:type="dxa"/>
          </w:tcPr>
          <w:p w:rsidR="00F445A5" w:rsidRPr="008A01FC" w:rsidRDefault="0017216C" w:rsidP="007C4EA5">
            <w:pPr>
              <w:pStyle w:val="TableParagraph"/>
              <w:spacing w:line="276" w:lineRule="auto"/>
              <w:rPr>
                <w:sz w:val="20"/>
                <w:lang w:val="en-GB"/>
              </w:rPr>
            </w:pPr>
            <w:r w:rsidRPr="008A01FC">
              <w:rPr>
                <w:sz w:val="20"/>
                <w:lang w:val="en-GB"/>
              </w:rPr>
              <w:t>Increasing age is the most important</w:t>
            </w:r>
            <w:r w:rsidR="007C4EA5">
              <w:rPr>
                <w:sz w:val="20"/>
                <w:lang w:val="en-GB"/>
              </w:rPr>
              <w:t xml:space="preserve"> </w:t>
            </w:r>
            <w:r w:rsidRPr="008A01FC">
              <w:rPr>
                <w:sz w:val="20"/>
                <w:lang w:val="en-GB"/>
              </w:rPr>
              <w:t>risk factor for dementia.</w:t>
            </w:r>
          </w:p>
        </w:tc>
      </w:tr>
      <w:tr w:rsidR="00113AE7" w:rsidRPr="008A01FC" w:rsidTr="008A01FC">
        <w:trPr>
          <w:trHeight w:val="830"/>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Sex</w:t>
            </w:r>
          </w:p>
        </w:tc>
        <w:tc>
          <w:tcPr>
            <w:tcW w:w="5702" w:type="dxa"/>
          </w:tcPr>
          <w:p w:rsidR="00F445A5" w:rsidRPr="008A01FC" w:rsidRDefault="0017216C" w:rsidP="00117BFD">
            <w:pPr>
              <w:pStyle w:val="TableParagraph"/>
              <w:spacing w:line="276" w:lineRule="auto"/>
              <w:ind w:right="503"/>
              <w:rPr>
                <w:sz w:val="20"/>
                <w:lang w:val="en-GB"/>
              </w:rPr>
            </w:pPr>
            <w:r w:rsidRPr="008A01FC">
              <w:rPr>
                <w:sz w:val="20"/>
                <w:lang w:val="en-GB"/>
              </w:rPr>
              <w:t>Alzheimer’s disease is slightly more common in women, particularly in those over 80 years of age</w:t>
            </w:r>
          </w:p>
        </w:tc>
      </w:tr>
      <w:tr w:rsidR="00113AE7" w:rsidRPr="008A01FC" w:rsidTr="00AC5858">
        <w:trPr>
          <w:trHeight w:val="983"/>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Genetic factors</w:t>
            </w:r>
          </w:p>
        </w:tc>
        <w:tc>
          <w:tcPr>
            <w:tcW w:w="5702" w:type="dxa"/>
          </w:tcPr>
          <w:p w:rsidR="00F445A5" w:rsidRPr="008A01FC" w:rsidRDefault="0017216C" w:rsidP="00117BFD">
            <w:pPr>
              <w:pStyle w:val="TableParagraph"/>
              <w:spacing w:line="276" w:lineRule="auto"/>
              <w:ind w:right="301"/>
              <w:rPr>
                <w:sz w:val="20"/>
                <w:lang w:val="en-GB"/>
              </w:rPr>
            </w:pPr>
            <w:r w:rsidRPr="008A01FC">
              <w:rPr>
                <w:sz w:val="20"/>
                <w:lang w:val="en-GB"/>
              </w:rPr>
              <w:t xml:space="preserve">Mutations in 3 individual genes cause familial Alzheimer’s disease. Down’s syndrome is associated with an </w:t>
            </w:r>
            <w:r w:rsidR="00113AE7" w:rsidRPr="008A01FC">
              <w:rPr>
                <w:sz w:val="20"/>
                <w:lang w:val="en-GB"/>
              </w:rPr>
              <w:t>increased</w:t>
            </w:r>
            <w:r w:rsidRPr="008A01FC">
              <w:rPr>
                <w:sz w:val="20"/>
                <w:lang w:val="en-GB"/>
              </w:rPr>
              <w:t xml:space="preserve"> risk of Alzheimer’s (this is rare)</w:t>
            </w:r>
          </w:p>
        </w:tc>
      </w:tr>
      <w:tr w:rsidR="00113AE7" w:rsidRPr="008A01FC" w:rsidTr="00AC5858">
        <w:trPr>
          <w:trHeight w:val="1583"/>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Family history</w:t>
            </w:r>
          </w:p>
        </w:tc>
        <w:tc>
          <w:tcPr>
            <w:tcW w:w="5702" w:type="dxa"/>
          </w:tcPr>
          <w:p w:rsidR="00F445A5" w:rsidRPr="008A01FC" w:rsidRDefault="0017216C" w:rsidP="00AC5858">
            <w:pPr>
              <w:pStyle w:val="TableParagraph"/>
              <w:spacing w:line="276" w:lineRule="auto"/>
              <w:ind w:right="169"/>
              <w:rPr>
                <w:sz w:val="20"/>
                <w:lang w:val="en-GB"/>
              </w:rPr>
            </w:pPr>
            <w:r w:rsidRPr="008A01FC">
              <w:rPr>
                <w:sz w:val="20"/>
                <w:lang w:val="en-GB"/>
              </w:rPr>
              <w:t xml:space="preserve">Family history of a first degree relative with Alzheimer’s disease may increase the risk of Alzheimer’s, however caution should be used when interpreting this information and association can only </w:t>
            </w:r>
            <w:r w:rsidR="00216872" w:rsidRPr="008A01FC">
              <w:rPr>
                <w:sz w:val="20"/>
                <w:lang w:val="en-GB"/>
              </w:rPr>
              <w:t>determine</w:t>
            </w:r>
            <w:r w:rsidRPr="008A01FC">
              <w:rPr>
                <w:sz w:val="20"/>
                <w:lang w:val="en-GB"/>
              </w:rPr>
              <w:t xml:space="preserve"> on an individual basis given the number of</w:t>
            </w:r>
            <w:r w:rsidR="00AC5858">
              <w:rPr>
                <w:sz w:val="20"/>
                <w:lang w:val="en-GB"/>
              </w:rPr>
              <w:t xml:space="preserve"> </w:t>
            </w:r>
            <w:r w:rsidRPr="008A01FC">
              <w:rPr>
                <w:sz w:val="20"/>
                <w:lang w:val="en-GB"/>
              </w:rPr>
              <w:t>other associated variables.</w:t>
            </w:r>
          </w:p>
        </w:tc>
      </w:tr>
      <w:tr w:rsidR="00113AE7" w:rsidRPr="008A01FC" w:rsidTr="008A01FC">
        <w:trPr>
          <w:trHeight w:val="275"/>
        </w:trPr>
        <w:tc>
          <w:tcPr>
            <w:tcW w:w="3154" w:type="dxa"/>
            <w:shd w:val="clear" w:color="auto" w:fill="DBE5F1" w:themeFill="accent1" w:themeFillTint="33"/>
          </w:tcPr>
          <w:p w:rsidR="00F445A5" w:rsidRPr="008A01FC" w:rsidRDefault="007C4EA5" w:rsidP="007C4EA5">
            <w:pPr>
              <w:pStyle w:val="TableParagraph"/>
              <w:spacing w:line="276" w:lineRule="auto"/>
              <w:ind w:left="0"/>
              <w:rPr>
                <w:b/>
                <w:sz w:val="20"/>
                <w:lang w:val="en-GB"/>
              </w:rPr>
            </w:pPr>
            <w:r>
              <w:rPr>
                <w:b/>
                <w:sz w:val="20"/>
                <w:lang w:val="en-GB"/>
              </w:rPr>
              <w:t xml:space="preserve"> </w:t>
            </w:r>
            <w:r w:rsidR="0017216C" w:rsidRPr="008A01FC">
              <w:rPr>
                <w:b/>
                <w:sz w:val="20"/>
                <w:lang w:val="en-GB"/>
              </w:rPr>
              <w:t>Modifiable risk factors</w:t>
            </w:r>
          </w:p>
        </w:tc>
        <w:tc>
          <w:tcPr>
            <w:tcW w:w="5702" w:type="dxa"/>
            <w:shd w:val="clear" w:color="auto" w:fill="DBE5F1" w:themeFill="accent1" w:themeFillTint="33"/>
          </w:tcPr>
          <w:p w:rsidR="00F445A5" w:rsidRPr="008A01FC" w:rsidRDefault="00F445A5" w:rsidP="00117BFD">
            <w:pPr>
              <w:pStyle w:val="TableParagraph"/>
              <w:spacing w:line="276" w:lineRule="auto"/>
              <w:ind w:left="0"/>
              <w:rPr>
                <w:rFonts w:ascii="Times New Roman"/>
                <w:sz w:val="20"/>
                <w:lang w:val="en-GB"/>
              </w:rPr>
            </w:pPr>
          </w:p>
        </w:tc>
      </w:tr>
      <w:tr w:rsidR="00113AE7" w:rsidRPr="008A01FC" w:rsidTr="008A01FC">
        <w:trPr>
          <w:trHeight w:val="827"/>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Hypertension</w:t>
            </w:r>
          </w:p>
        </w:tc>
        <w:tc>
          <w:tcPr>
            <w:tcW w:w="5702" w:type="dxa"/>
          </w:tcPr>
          <w:p w:rsidR="00F445A5" w:rsidRPr="008A01FC" w:rsidRDefault="0017216C" w:rsidP="00AC5858">
            <w:pPr>
              <w:pStyle w:val="TableParagraph"/>
              <w:spacing w:line="276" w:lineRule="auto"/>
              <w:ind w:right="475"/>
              <w:rPr>
                <w:sz w:val="20"/>
                <w:lang w:val="en-GB"/>
              </w:rPr>
            </w:pPr>
            <w:r w:rsidRPr="008A01FC">
              <w:rPr>
                <w:sz w:val="20"/>
                <w:lang w:val="en-GB"/>
              </w:rPr>
              <w:t>Associated with an increased risk of both vascular dementia and</w:t>
            </w:r>
            <w:r w:rsidR="00AC5858">
              <w:rPr>
                <w:sz w:val="20"/>
                <w:lang w:val="en-GB"/>
              </w:rPr>
              <w:t xml:space="preserve"> </w:t>
            </w:r>
            <w:r w:rsidRPr="008A01FC">
              <w:rPr>
                <w:sz w:val="20"/>
                <w:lang w:val="en-GB"/>
              </w:rPr>
              <w:t>Alzheimer’s disease.</w:t>
            </w:r>
          </w:p>
        </w:tc>
      </w:tr>
      <w:tr w:rsidR="00113AE7" w:rsidRPr="008A01FC" w:rsidTr="008A01FC">
        <w:trPr>
          <w:trHeight w:val="827"/>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High cholesterol</w:t>
            </w:r>
          </w:p>
        </w:tc>
        <w:tc>
          <w:tcPr>
            <w:tcW w:w="5702" w:type="dxa"/>
          </w:tcPr>
          <w:p w:rsidR="00F445A5" w:rsidRPr="008A01FC" w:rsidRDefault="0017216C" w:rsidP="00AC5858">
            <w:pPr>
              <w:pStyle w:val="TableParagraph"/>
              <w:spacing w:line="276" w:lineRule="auto"/>
              <w:ind w:right="475"/>
              <w:rPr>
                <w:sz w:val="20"/>
                <w:lang w:val="en-GB"/>
              </w:rPr>
            </w:pPr>
            <w:r w:rsidRPr="008A01FC">
              <w:rPr>
                <w:sz w:val="20"/>
                <w:lang w:val="en-GB"/>
              </w:rPr>
              <w:t>Associated with an increased risk of both vascular dementia and</w:t>
            </w:r>
            <w:r w:rsidR="00AC5858">
              <w:rPr>
                <w:sz w:val="20"/>
                <w:lang w:val="en-GB"/>
              </w:rPr>
              <w:t xml:space="preserve"> </w:t>
            </w:r>
            <w:r w:rsidRPr="008A01FC">
              <w:rPr>
                <w:sz w:val="20"/>
                <w:lang w:val="en-GB"/>
              </w:rPr>
              <w:t>Alzheimer’s disease.</w:t>
            </w:r>
          </w:p>
        </w:tc>
      </w:tr>
      <w:tr w:rsidR="00113AE7" w:rsidRPr="008A01FC" w:rsidTr="008A01FC">
        <w:trPr>
          <w:trHeight w:val="827"/>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Diabetes</w:t>
            </w:r>
          </w:p>
        </w:tc>
        <w:tc>
          <w:tcPr>
            <w:tcW w:w="5702" w:type="dxa"/>
          </w:tcPr>
          <w:p w:rsidR="00F445A5" w:rsidRPr="008A01FC" w:rsidRDefault="0017216C" w:rsidP="00AC5858">
            <w:pPr>
              <w:pStyle w:val="TableParagraph"/>
              <w:spacing w:line="276" w:lineRule="auto"/>
              <w:ind w:right="475"/>
              <w:rPr>
                <w:sz w:val="20"/>
                <w:lang w:val="en-GB"/>
              </w:rPr>
            </w:pPr>
            <w:r w:rsidRPr="008A01FC">
              <w:rPr>
                <w:sz w:val="20"/>
                <w:lang w:val="en-GB"/>
              </w:rPr>
              <w:t xml:space="preserve">Associated with an increased risk of both vascular </w:t>
            </w:r>
            <w:r w:rsidR="00AC5858">
              <w:rPr>
                <w:sz w:val="20"/>
                <w:lang w:val="en-GB"/>
              </w:rPr>
              <w:t>d</w:t>
            </w:r>
            <w:r w:rsidRPr="008A01FC">
              <w:rPr>
                <w:sz w:val="20"/>
                <w:lang w:val="en-GB"/>
              </w:rPr>
              <w:t>ementia and</w:t>
            </w:r>
            <w:r w:rsidR="00AC5858">
              <w:rPr>
                <w:sz w:val="20"/>
                <w:lang w:val="en-GB"/>
              </w:rPr>
              <w:t xml:space="preserve"> </w:t>
            </w:r>
            <w:r w:rsidRPr="008A01FC">
              <w:rPr>
                <w:sz w:val="20"/>
                <w:lang w:val="en-GB"/>
              </w:rPr>
              <w:t>Alzheimer’s disease.</w:t>
            </w:r>
          </w:p>
        </w:tc>
      </w:tr>
      <w:tr w:rsidR="00113AE7" w:rsidRPr="008A01FC" w:rsidTr="008A01FC">
        <w:trPr>
          <w:trHeight w:val="827"/>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Smoking</w:t>
            </w:r>
          </w:p>
        </w:tc>
        <w:tc>
          <w:tcPr>
            <w:tcW w:w="5702" w:type="dxa"/>
          </w:tcPr>
          <w:p w:rsidR="00F445A5" w:rsidRPr="008A01FC" w:rsidRDefault="0017216C" w:rsidP="008A01FC">
            <w:pPr>
              <w:pStyle w:val="TableParagraph"/>
              <w:spacing w:line="276" w:lineRule="auto"/>
              <w:rPr>
                <w:sz w:val="20"/>
                <w:lang w:val="en-GB"/>
              </w:rPr>
            </w:pPr>
            <w:r w:rsidRPr="008A01FC">
              <w:rPr>
                <w:sz w:val="20"/>
                <w:lang w:val="en-GB"/>
              </w:rPr>
              <w:t>Associated with an increased risk of</w:t>
            </w:r>
            <w:r w:rsidR="008A01FC">
              <w:rPr>
                <w:sz w:val="20"/>
                <w:lang w:val="en-GB"/>
              </w:rPr>
              <w:t xml:space="preserve"> b</w:t>
            </w:r>
            <w:r w:rsidR="00113AE7" w:rsidRPr="008A01FC">
              <w:rPr>
                <w:sz w:val="20"/>
                <w:lang w:val="en-GB"/>
              </w:rPr>
              <w:t>oth</w:t>
            </w:r>
            <w:r w:rsidRPr="008A01FC">
              <w:rPr>
                <w:sz w:val="20"/>
                <w:lang w:val="en-GB"/>
              </w:rPr>
              <w:t xml:space="preserve"> vascular dementia and Alzheimer’s</w:t>
            </w:r>
            <w:r w:rsidR="008A01FC">
              <w:rPr>
                <w:sz w:val="20"/>
                <w:lang w:val="en-GB"/>
              </w:rPr>
              <w:t xml:space="preserve"> disease </w:t>
            </w:r>
          </w:p>
        </w:tc>
      </w:tr>
      <w:tr w:rsidR="00113AE7" w:rsidRPr="008A01FC" w:rsidTr="008A01FC">
        <w:trPr>
          <w:trHeight w:val="830"/>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Excessive alcohol consumption.</w:t>
            </w:r>
          </w:p>
        </w:tc>
        <w:tc>
          <w:tcPr>
            <w:tcW w:w="5702" w:type="dxa"/>
          </w:tcPr>
          <w:p w:rsidR="00F445A5" w:rsidRPr="008A01FC" w:rsidRDefault="0017216C" w:rsidP="008A01FC">
            <w:pPr>
              <w:pStyle w:val="TableParagraph"/>
              <w:spacing w:line="276" w:lineRule="auto"/>
              <w:ind w:right="222"/>
              <w:rPr>
                <w:sz w:val="20"/>
                <w:lang w:val="en-GB"/>
              </w:rPr>
            </w:pPr>
            <w:r w:rsidRPr="008A01FC">
              <w:rPr>
                <w:sz w:val="20"/>
                <w:lang w:val="en-GB"/>
              </w:rPr>
              <w:t xml:space="preserve">Excessive alcohol intake is associated with </w:t>
            </w:r>
            <w:proofErr w:type="spellStart"/>
            <w:r w:rsidRPr="008A01FC">
              <w:rPr>
                <w:sz w:val="20"/>
                <w:lang w:val="en-GB"/>
              </w:rPr>
              <w:t>Korsakoff’s</w:t>
            </w:r>
            <w:proofErr w:type="spellEnd"/>
            <w:r w:rsidRPr="008A01FC">
              <w:rPr>
                <w:sz w:val="20"/>
                <w:lang w:val="en-GB"/>
              </w:rPr>
              <w:t xml:space="preserve"> syndrome, and other</w:t>
            </w:r>
            <w:r w:rsidR="008A01FC">
              <w:rPr>
                <w:sz w:val="20"/>
                <w:lang w:val="en-GB"/>
              </w:rPr>
              <w:t xml:space="preserve"> </w:t>
            </w:r>
            <w:r w:rsidRPr="008A01FC">
              <w:rPr>
                <w:sz w:val="20"/>
                <w:lang w:val="en-GB"/>
              </w:rPr>
              <w:t xml:space="preserve">of </w:t>
            </w:r>
            <w:r w:rsidR="00113AE7" w:rsidRPr="008A01FC">
              <w:rPr>
                <w:sz w:val="20"/>
                <w:lang w:val="en-GB"/>
              </w:rPr>
              <w:t>types of dementia</w:t>
            </w:r>
            <w:r w:rsidRPr="008A01FC">
              <w:rPr>
                <w:sz w:val="20"/>
                <w:lang w:val="en-GB"/>
              </w:rPr>
              <w:t>.</w:t>
            </w:r>
          </w:p>
        </w:tc>
      </w:tr>
      <w:tr w:rsidR="00113AE7" w:rsidRPr="008A01FC" w:rsidTr="008A01FC">
        <w:trPr>
          <w:trHeight w:val="827"/>
        </w:trPr>
        <w:tc>
          <w:tcPr>
            <w:tcW w:w="3154" w:type="dxa"/>
            <w:shd w:val="clear" w:color="auto" w:fill="DBE5F1" w:themeFill="accent1" w:themeFillTint="33"/>
          </w:tcPr>
          <w:p w:rsidR="00F445A5" w:rsidRPr="008A01FC" w:rsidRDefault="0017216C" w:rsidP="00117BFD">
            <w:pPr>
              <w:pStyle w:val="TableParagraph"/>
              <w:spacing w:line="276" w:lineRule="auto"/>
              <w:rPr>
                <w:sz w:val="20"/>
                <w:lang w:val="en-GB"/>
              </w:rPr>
            </w:pPr>
            <w:r w:rsidRPr="008A01FC">
              <w:rPr>
                <w:sz w:val="20"/>
                <w:lang w:val="en-GB"/>
              </w:rPr>
              <w:t>Educational level</w:t>
            </w:r>
          </w:p>
        </w:tc>
        <w:tc>
          <w:tcPr>
            <w:tcW w:w="5702" w:type="dxa"/>
          </w:tcPr>
          <w:p w:rsidR="00F445A5" w:rsidRPr="008A01FC" w:rsidRDefault="0017216C" w:rsidP="008A01FC">
            <w:pPr>
              <w:pStyle w:val="TableParagraph"/>
              <w:spacing w:line="276" w:lineRule="auto"/>
              <w:ind w:right="128"/>
              <w:rPr>
                <w:sz w:val="20"/>
                <w:lang w:val="en-GB"/>
              </w:rPr>
            </w:pPr>
            <w:r w:rsidRPr="008A01FC">
              <w:rPr>
                <w:sz w:val="20"/>
                <w:lang w:val="en-GB"/>
              </w:rPr>
              <w:t>Additional years of education appear to offer some protection against</w:t>
            </w:r>
            <w:r w:rsidR="008A01FC">
              <w:rPr>
                <w:sz w:val="20"/>
                <w:lang w:val="en-GB"/>
              </w:rPr>
              <w:t xml:space="preserve"> </w:t>
            </w:r>
            <w:r w:rsidRPr="008A01FC">
              <w:rPr>
                <w:sz w:val="20"/>
                <w:lang w:val="en-GB"/>
              </w:rPr>
              <w:t>Alzheimer’s disease.</w:t>
            </w:r>
          </w:p>
        </w:tc>
      </w:tr>
    </w:tbl>
    <w:p w:rsidR="00F445A5" w:rsidRPr="00913267" w:rsidRDefault="0017216C" w:rsidP="00117BFD">
      <w:pPr>
        <w:spacing w:line="276" w:lineRule="auto"/>
        <w:ind w:left="219"/>
        <w:rPr>
          <w:sz w:val="20"/>
          <w:lang w:val="en-GB"/>
        </w:rPr>
      </w:pPr>
      <w:r w:rsidRPr="00913267">
        <w:rPr>
          <w:sz w:val="20"/>
          <w:lang w:val="en-GB"/>
        </w:rPr>
        <w:t xml:space="preserve">Source: </w:t>
      </w:r>
      <w:proofErr w:type="spellStart"/>
      <w:r w:rsidRPr="00913267">
        <w:rPr>
          <w:sz w:val="20"/>
          <w:lang w:val="en-GB"/>
        </w:rPr>
        <w:t>Kester</w:t>
      </w:r>
      <w:proofErr w:type="spellEnd"/>
      <w:r w:rsidRPr="00913267">
        <w:rPr>
          <w:sz w:val="20"/>
          <w:lang w:val="en-GB"/>
        </w:rPr>
        <w:t xml:space="preserve"> and </w:t>
      </w:r>
      <w:proofErr w:type="spellStart"/>
      <w:r w:rsidRPr="00913267">
        <w:rPr>
          <w:sz w:val="20"/>
          <w:lang w:val="en-GB"/>
        </w:rPr>
        <w:t>Scheltens</w:t>
      </w:r>
      <w:proofErr w:type="spellEnd"/>
      <w:r w:rsidRPr="00913267">
        <w:rPr>
          <w:sz w:val="20"/>
          <w:lang w:val="en-GB"/>
        </w:rPr>
        <w:t>. Dementia</w:t>
      </w:r>
      <w:r w:rsidR="00113AE7" w:rsidRPr="00913267">
        <w:rPr>
          <w:sz w:val="20"/>
          <w:lang w:val="en-GB"/>
        </w:rPr>
        <w:t xml:space="preserve"> UK</w:t>
      </w:r>
      <w:r w:rsidRPr="00913267">
        <w:rPr>
          <w:sz w:val="20"/>
          <w:lang w:val="en-GB"/>
        </w:rPr>
        <w:t xml:space="preserve">: The Bare Essentials </w:t>
      </w:r>
      <w:proofErr w:type="spellStart"/>
      <w:r w:rsidRPr="00913267">
        <w:rPr>
          <w:sz w:val="20"/>
          <w:lang w:val="en-GB"/>
        </w:rPr>
        <w:t>Pract</w:t>
      </w:r>
      <w:proofErr w:type="spellEnd"/>
      <w:r w:rsidRPr="00913267">
        <w:rPr>
          <w:sz w:val="20"/>
          <w:lang w:val="en-GB"/>
        </w:rPr>
        <w:t xml:space="preserve"> </w:t>
      </w:r>
      <w:proofErr w:type="spellStart"/>
      <w:r w:rsidRPr="00913267">
        <w:rPr>
          <w:sz w:val="20"/>
          <w:lang w:val="en-GB"/>
        </w:rPr>
        <w:t>Neurol</w:t>
      </w:r>
      <w:proofErr w:type="spellEnd"/>
      <w:r w:rsidRPr="00913267">
        <w:rPr>
          <w:sz w:val="20"/>
          <w:lang w:val="en-GB"/>
        </w:rPr>
        <w:t xml:space="preserve"> </w:t>
      </w:r>
      <w:r w:rsidR="00A554B4" w:rsidRPr="00913267">
        <w:rPr>
          <w:b/>
          <w:sz w:val="20"/>
          <w:lang w:val="en-GB"/>
        </w:rPr>
        <w:t>(</w:t>
      </w:r>
      <w:r w:rsidRPr="00913267">
        <w:rPr>
          <w:b/>
          <w:sz w:val="20"/>
          <w:lang w:val="en-GB"/>
        </w:rPr>
        <w:t>2009</w:t>
      </w:r>
      <w:r w:rsidR="00A554B4" w:rsidRPr="00913267">
        <w:rPr>
          <w:b/>
          <w:sz w:val="20"/>
          <w:lang w:val="en-GB"/>
        </w:rPr>
        <w:t>)</w:t>
      </w:r>
      <w:r w:rsidRPr="00913267">
        <w:rPr>
          <w:sz w:val="20"/>
          <w:lang w:val="en-GB"/>
        </w:rPr>
        <w:t>;</w:t>
      </w:r>
      <w:r w:rsidR="00A554B4" w:rsidRPr="00913267">
        <w:rPr>
          <w:sz w:val="20"/>
          <w:lang w:val="en-GB"/>
        </w:rPr>
        <w:t xml:space="preserve"> </w:t>
      </w:r>
      <w:r w:rsidRPr="00913267">
        <w:rPr>
          <w:b/>
          <w:sz w:val="20"/>
          <w:lang w:val="en-GB"/>
        </w:rPr>
        <w:t>9:</w:t>
      </w:r>
      <w:r w:rsidRPr="00913267">
        <w:rPr>
          <w:sz w:val="20"/>
          <w:lang w:val="en-GB"/>
        </w:rPr>
        <w:t>241-251</w:t>
      </w:r>
    </w:p>
    <w:p w:rsidR="00F445A5" w:rsidRPr="00913267" w:rsidRDefault="00F445A5" w:rsidP="00C513DC">
      <w:pPr>
        <w:spacing w:line="276" w:lineRule="auto"/>
        <w:rPr>
          <w:sz w:val="20"/>
          <w:lang w:val="en-GB"/>
        </w:rPr>
      </w:pPr>
    </w:p>
    <w:p w:rsidR="00064AF7" w:rsidRPr="00913267" w:rsidRDefault="00064AF7" w:rsidP="00C513DC">
      <w:pPr>
        <w:spacing w:line="276" w:lineRule="auto"/>
        <w:rPr>
          <w:sz w:val="20"/>
          <w:lang w:val="en-GB"/>
        </w:rPr>
      </w:pPr>
    </w:p>
    <w:p w:rsidR="00F445A5" w:rsidRPr="00913267" w:rsidRDefault="00B34672" w:rsidP="00C513DC">
      <w:pPr>
        <w:spacing w:line="276" w:lineRule="auto"/>
        <w:rPr>
          <w:sz w:val="24"/>
          <w:u w:val="single"/>
          <w:lang w:val="en-GB"/>
        </w:rPr>
      </w:pPr>
      <w:r w:rsidRPr="00913267">
        <w:rPr>
          <w:sz w:val="24"/>
          <w:u w:val="single"/>
          <w:lang w:val="en-GB"/>
        </w:rPr>
        <w:t>P</w:t>
      </w:r>
      <w:r w:rsidR="0017216C" w:rsidRPr="00913267">
        <w:rPr>
          <w:sz w:val="24"/>
          <w:u w:val="single"/>
          <w:lang w:val="en-GB"/>
        </w:rPr>
        <w:t>e</w:t>
      </w:r>
      <w:r w:rsidR="00A554B4" w:rsidRPr="00913267">
        <w:rPr>
          <w:sz w:val="24"/>
          <w:u w:val="single"/>
          <w:lang w:val="en-GB"/>
        </w:rPr>
        <w:t>ople with learning disabilities</w:t>
      </w:r>
      <w:r w:rsidRPr="00913267">
        <w:rPr>
          <w:sz w:val="24"/>
          <w:u w:val="single"/>
          <w:lang w:val="en-GB"/>
        </w:rPr>
        <w:t xml:space="preserve"> and Dementia</w:t>
      </w:r>
    </w:p>
    <w:p w:rsidR="00F445A5" w:rsidRPr="00913267" w:rsidRDefault="00F445A5" w:rsidP="00C513DC">
      <w:pPr>
        <w:pStyle w:val="BodyText"/>
        <w:spacing w:line="276" w:lineRule="auto"/>
        <w:rPr>
          <w:b/>
          <w:lang w:val="en-GB"/>
        </w:rPr>
      </w:pPr>
    </w:p>
    <w:p w:rsidR="00F445A5" w:rsidRPr="00913267" w:rsidRDefault="00064AF7" w:rsidP="00C513DC">
      <w:pPr>
        <w:pStyle w:val="BodyText"/>
        <w:spacing w:line="276" w:lineRule="auto"/>
        <w:jc w:val="both"/>
        <w:rPr>
          <w:lang w:val="en-GB"/>
        </w:rPr>
      </w:pPr>
      <w:r w:rsidRPr="00913267">
        <w:rPr>
          <w:lang w:val="en-GB"/>
        </w:rPr>
        <w:t>People with learning disabilities, particularly those with Down's syndrome, are at increased risk of developing dementia.</w:t>
      </w:r>
      <w:r w:rsidR="0017216C" w:rsidRPr="00913267">
        <w:rPr>
          <w:lang w:val="en-GB"/>
        </w:rPr>
        <w:t xml:space="preserve"> </w:t>
      </w:r>
      <w:r w:rsidR="00B34672" w:rsidRPr="00913267">
        <w:rPr>
          <w:lang w:val="en-GB"/>
        </w:rPr>
        <w:t xml:space="preserve">Professionals must ensure additional time and adjustments particularly with communication allowing </w:t>
      </w:r>
      <w:r w:rsidR="0017216C" w:rsidRPr="00913267">
        <w:rPr>
          <w:lang w:val="en-GB"/>
        </w:rPr>
        <w:t>express</w:t>
      </w:r>
      <w:r w:rsidR="00B34672" w:rsidRPr="00913267">
        <w:rPr>
          <w:lang w:val="en-GB"/>
        </w:rPr>
        <w:t>ion on</w:t>
      </w:r>
      <w:r w:rsidR="0017216C" w:rsidRPr="00913267">
        <w:rPr>
          <w:lang w:val="en-GB"/>
        </w:rPr>
        <w:t xml:space="preserve"> how they feel if the</w:t>
      </w:r>
      <w:r w:rsidR="00B34672" w:rsidRPr="00913267">
        <w:rPr>
          <w:lang w:val="en-GB"/>
        </w:rPr>
        <w:t>ir abilities have deteriorated. C</w:t>
      </w:r>
      <w:r w:rsidR="0017216C" w:rsidRPr="00913267">
        <w:rPr>
          <w:lang w:val="en-GB"/>
        </w:rPr>
        <w:t>ommunication difficult</w:t>
      </w:r>
      <w:r w:rsidR="00B34672" w:rsidRPr="00913267">
        <w:rPr>
          <w:lang w:val="en-GB"/>
        </w:rPr>
        <w:t>ies will make it harder</w:t>
      </w:r>
      <w:r w:rsidR="0017216C" w:rsidRPr="00913267">
        <w:rPr>
          <w:lang w:val="en-GB"/>
        </w:rPr>
        <w:t xml:space="preserve"> for others to assess change.</w:t>
      </w:r>
    </w:p>
    <w:p w:rsidR="00A40D17" w:rsidRPr="00913267" w:rsidRDefault="00A40D17" w:rsidP="00C513DC">
      <w:pPr>
        <w:pStyle w:val="BodyText"/>
        <w:spacing w:line="276" w:lineRule="auto"/>
        <w:jc w:val="both"/>
        <w:rPr>
          <w:lang w:val="en-GB"/>
        </w:rPr>
      </w:pPr>
    </w:p>
    <w:p w:rsidR="00AF61B5" w:rsidRDefault="00AF61B5" w:rsidP="00C513DC">
      <w:pPr>
        <w:pStyle w:val="BodyText"/>
        <w:spacing w:line="276" w:lineRule="auto"/>
        <w:jc w:val="both"/>
        <w:rPr>
          <w:lang w:val="en-GB"/>
        </w:rPr>
      </w:pPr>
    </w:p>
    <w:p w:rsidR="007C4EA5" w:rsidRDefault="007C4EA5" w:rsidP="00C513DC">
      <w:pPr>
        <w:pStyle w:val="BodyText"/>
        <w:spacing w:line="276" w:lineRule="auto"/>
        <w:jc w:val="both"/>
        <w:rPr>
          <w:lang w:val="en-GB"/>
        </w:rPr>
      </w:pPr>
    </w:p>
    <w:p w:rsidR="007C4EA5" w:rsidRDefault="007C4EA5" w:rsidP="00C513DC">
      <w:pPr>
        <w:pStyle w:val="BodyText"/>
        <w:spacing w:line="276" w:lineRule="auto"/>
        <w:jc w:val="both"/>
        <w:rPr>
          <w:lang w:val="en-GB"/>
        </w:rPr>
      </w:pPr>
    </w:p>
    <w:p w:rsidR="007C4EA5" w:rsidRDefault="007C4EA5" w:rsidP="00C513DC">
      <w:pPr>
        <w:pStyle w:val="BodyText"/>
        <w:spacing w:line="276" w:lineRule="auto"/>
        <w:jc w:val="both"/>
        <w:rPr>
          <w:lang w:val="en-GB"/>
        </w:rPr>
      </w:pPr>
    </w:p>
    <w:p w:rsidR="007C4EA5" w:rsidRPr="00913267" w:rsidRDefault="007C4EA5" w:rsidP="00C513DC">
      <w:pPr>
        <w:pStyle w:val="BodyText"/>
        <w:spacing w:line="276" w:lineRule="auto"/>
        <w:jc w:val="both"/>
        <w:rPr>
          <w:lang w:val="en-GB"/>
        </w:rPr>
      </w:pPr>
    </w:p>
    <w:p w:rsidR="00F445A5" w:rsidRPr="00913267" w:rsidRDefault="0017216C" w:rsidP="00C513DC">
      <w:pPr>
        <w:pStyle w:val="Heading1"/>
        <w:tabs>
          <w:tab w:val="left" w:pos="489"/>
        </w:tabs>
        <w:spacing w:line="276" w:lineRule="auto"/>
        <w:ind w:left="0"/>
        <w:jc w:val="both"/>
        <w:rPr>
          <w:lang w:val="en-GB"/>
        </w:rPr>
      </w:pPr>
      <w:bookmarkStart w:id="3" w:name="_TOC_250008"/>
      <w:bookmarkEnd w:id="3"/>
      <w:r w:rsidRPr="00913267">
        <w:rPr>
          <w:lang w:val="en-GB"/>
        </w:rPr>
        <w:t>THE NATIONAL CONTEXT</w:t>
      </w:r>
      <w:r w:rsidR="001B7D7F" w:rsidRPr="00913267">
        <w:rPr>
          <w:lang w:val="en-GB"/>
        </w:rPr>
        <w:t xml:space="preserve"> </w:t>
      </w:r>
    </w:p>
    <w:p w:rsidR="00B34672" w:rsidRPr="00913267" w:rsidRDefault="00B34672" w:rsidP="00C513DC">
      <w:pPr>
        <w:spacing w:line="276" w:lineRule="auto"/>
        <w:jc w:val="both"/>
        <w:rPr>
          <w:b/>
          <w:sz w:val="24"/>
          <w:lang w:val="en-GB"/>
        </w:rPr>
      </w:pPr>
    </w:p>
    <w:p w:rsidR="00F445A5" w:rsidRPr="00913267" w:rsidRDefault="0017216C" w:rsidP="00C513DC">
      <w:pPr>
        <w:spacing w:line="276" w:lineRule="auto"/>
        <w:jc w:val="both"/>
        <w:rPr>
          <w:sz w:val="24"/>
          <w:u w:val="single"/>
          <w:lang w:val="en-GB"/>
        </w:rPr>
      </w:pPr>
      <w:r w:rsidRPr="00913267">
        <w:rPr>
          <w:sz w:val="24"/>
          <w:u w:val="single"/>
          <w:lang w:val="en-GB"/>
        </w:rPr>
        <w:t>Prevalence of dementia in the UK</w:t>
      </w:r>
    </w:p>
    <w:p w:rsidR="00F445A5" w:rsidRPr="00913267" w:rsidRDefault="00F445A5" w:rsidP="00C513DC">
      <w:pPr>
        <w:pStyle w:val="BodyText"/>
        <w:spacing w:line="276" w:lineRule="auto"/>
        <w:jc w:val="both"/>
        <w:rPr>
          <w:b/>
          <w:sz w:val="23"/>
          <w:lang w:val="en-GB"/>
        </w:rPr>
      </w:pPr>
    </w:p>
    <w:p w:rsidR="00064AF7" w:rsidRPr="00913267" w:rsidRDefault="00064AF7" w:rsidP="00C513DC">
      <w:pPr>
        <w:pStyle w:val="BodyText"/>
        <w:spacing w:line="276" w:lineRule="auto"/>
        <w:jc w:val="both"/>
        <w:rPr>
          <w:lang w:val="en-GB"/>
        </w:rPr>
      </w:pPr>
      <w:r w:rsidRPr="00913267">
        <w:rPr>
          <w:lang w:val="en-GB"/>
        </w:rPr>
        <w:t xml:space="preserve">It is estimated that about 850,000 people are living with dementia in the UK. It is difficult to know the exact number of people living with dementia due to its gradual nature, the mild early-stage symptom and low diagnosis rate. </w:t>
      </w:r>
    </w:p>
    <w:p w:rsidR="00AE688A" w:rsidRPr="00913267" w:rsidRDefault="00AE688A" w:rsidP="00C513DC">
      <w:pPr>
        <w:pStyle w:val="BodyText"/>
        <w:spacing w:line="276" w:lineRule="auto"/>
        <w:jc w:val="both"/>
        <w:rPr>
          <w:lang w:val="en-GB"/>
        </w:rPr>
      </w:pPr>
    </w:p>
    <w:p w:rsidR="00064AF7" w:rsidRPr="00913267" w:rsidRDefault="00064AF7" w:rsidP="00C513DC">
      <w:pPr>
        <w:pStyle w:val="BodyText"/>
        <w:spacing w:line="276" w:lineRule="auto"/>
        <w:jc w:val="both"/>
        <w:rPr>
          <w:i/>
          <w:lang w:val="en-GB"/>
        </w:rPr>
      </w:pPr>
      <w:r w:rsidRPr="00913267">
        <w:rPr>
          <w:lang w:val="en-GB"/>
        </w:rPr>
        <w:t>About two in 100 people aged between 65 and 69 have dementia, and this figure rises to one in five f</w:t>
      </w:r>
      <w:r w:rsidR="00AE688A" w:rsidRPr="00913267">
        <w:rPr>
          <w:lang w:val="en-GB"/>
        </w:rPr>
        <w:t>or those aged between 85 and 89 (</w:t>
      </w:r>
      <w:r w:rsidR="00AE688A" w:rsidRPr="00913267">
        <w:rPr>
          <w:i/>
          <w:lang w:val="en-GB"/>
        </w:rPr>
        <w:t>Dementia UK).</w:t>
      </w:r>
    </w:p>
    <w:p w:rsidR="005A5C05" w:rsidRPr="00913267" w:rsidRDefault="005A5C05" w:rsidP="005A5C05">
      <w:pPr>
        <w:spacing w:line="276" w:lineRule="auto"/>
        <w:jc w:val="both"/>
        <w:outlineLvl w:val="1"/>
        <w:rPr>
          <w:rFonts w:eastAsia="Times New Roman"/>
          <w:b/>
          <w:bCs/>
          <w:sz w:val="36"/>
          <w:szCs w:val="36"/>
          <w:lang w:val="en-GB" w:eastAsia="en-GB"/>
        </w:rPr>
      </w:pPr>
    </w:p>
    <w:p w:rsidR="005A5C05" w:rsidRPr="00913267" w:rsidRDefault="005A5C05" w:rsidP="005A5C05">
      <w:pPr>
        <w:spacing w:line="276" w:lineRule="auto"/>
        <w:jc w:val="both"/>
        <w:rPr>
          <w:rFonts w:eastAsia="Times New Roman"/>
          <w:sz w:val="24"/>
          <w:szCs w:val="24"/>
          <w:lang w:val="en-GB" w:eastAsia="en-GB"/>
        </w:rPr>
      </w:pPr>
      <w:r w:rsidRPr="00913267">
        <w:rPr>
          <w:rFonts w:eastAsia="Times New Roman"/>
          <w:sz w:val="24"/>
          <w:szCs w:val="24"/>
          <w:lang w:val="en-GB" w:eastAsia="en-GB"/>
        </w:rPr>
        <w:t>In terms of the r</w:t>
      </w:r>
      <w:r w:rsidRPr="00E359C3">
        <w:rPr>
          <w:rFonts w:eastAsia="Times New Roman"/>
          <w:sz w:val="24"/>
          <w:szCs w:val="24"/>
          <w:lang w:val="en-GB" w:eastAsia="en-GB"/>
        </w:rPr>
        <w:t>ising care needs of people with dementia</w:t>
      </w:r>
      <w:r w:rsidRPr="00913267">
        <w:rPr>
          <w:rFonts w:eastAsia="Times New Roman"/>
          <w:sz w:val="24"/>
          <w:szCs w:val="24"/>
          <w:lang w:val="en-GB" w:eastAsia="en-GB"/>
        </w:rPr>
        <w:t xml:space="preserve">, it is estimated </w:t>
      </w:r>
      <w:r w:rsidR="00345BFA" w:rsidRPr="00913267">
        <w:rPr>
          <w:rFonts w:eastAsia="Times New Roman"/>
          <w:sz w:val="24"/>
          <w:szCs w:val="24"/>
          <w:lang w:val="en-GB" w:eastAsia="en-GB"/>
        </w:rPr>
        <w:t>that</w:t>
      </w:r>
      <w:r w:rsidRPr="00913267">
        <w:rPr>
          <w:rFonts w:eastAsia="Times New Roman"/>
          <w:sz w:val="24"/>
          <w:szCs w:val="24"/>
          <w:lang w:val="en-GB" w:eastAsia="en-GB"/>
        </w:rPr>
        <w:t xml:space="preserve"> </w:t>
      </w:r>
      <w:r w:rsidR="00345BFA" w:rsidRPr="00913267">
        <w:rPr>
          <w:rFonts w:eastAsia="Times New Roman"/>
          <w:sz w:val="24"/>
          <w:szCs w:val="24"/>
          <w:lang w:val="en-GB" w:eastAsia="en-GB"/>
        </w:rPr>
        <w:t xml:space="preserve">in England </w:t>
      </w:r>
      <w:r w:rsidRPr="00913267">
        <w:rPr>
          <w:rFonts w:eastAsia="Times New Roman"/>
          <w:sz w:val="24"/>
          <w:szCs w:val="24"/>
          <w:lang w:val="en-GB" w:eastAsia="en-GB"/>
        </w:rPr>
        <w:t xml:space="preserve">over the next 30 years </w:t>
      </w:r>
      <w:r w:rsidR="00345BFA" w:rsidRPr="00913267">
        <w:rPr>
          <w:rFonts w:eastAsia="Times New Roman"/>
          <w:sz w:val="24"/>
          <w:szCs w:val="24"/>
          <w:lang w:val="en-GB" w:eastAsia="en-GB"/>
        </w:rPr>
        <w:t xml:space="preserve">it will </w:t>
      </w:r>
      <w:r w:rsidRPr="00913267">
        <w:rPr>
          <w:rFonts w:eastAsia="Times New Roman"/>
          <w:sz w:val="24"/>
          <w:szCs w:val="24"/>
          <w:lang w:val="en-GB" w:eastAsia="en-GB"/>
        </w:rPr>
        <w:t>more than double to 1.4 million. The health social costs are currently at a critical level with all the evidence showing accelerated demand.</w:t>
      </w:r>
    </w:p>
    <w:p w:rsidR="005A5C05" w:rsidRPr="00913267" w:rsidRDefault="005A5C05" w:rsidP="005A5C05">
      <w:pPr>
        <w:spacing w:line="276" w:lineRule="auto"/>
        <w:jc w:val="both"/>
        <w:rPr>
          <w:rFonts w:eastAsia="Times New Roman"/>
          <w:sz w:val="24"/>
          <w:szCs w:val="24"/>
          <w:lang w:val="en-GB" w:eastAsia="en-GB"/>
        </w:rPr>
      </w:pPr>
    </w:p>
    <w:p w:rsidR="005A5C05" w:rsidRPr="00913267" w:rsidRDefault="005A5C05" w:rsidP="005A5C05">
      <w:pPr>
        <w:spacing w:line="276" w:lineRule="auto"/>
        <w:jc w:val="both"/>
        <w:rPr>
          <w:rFonts w:eastAsia="Times New Roman"/>
          <w:sz w:val="24"/>
          <w:szCs w:val="24"/>
          <w:lang w:val="en-GB" w:eastAsia="en-GB"/>
        </w:rPr>
      </w:pPr>
      <w:r w:rsidRPr="00E359C3">
        <w:rPr>
          <w:rFonts w:eastAsia="Times New Roman"/>
          <w:sz w:val="24"/>
          <w:szCs w:val="24"/>
          <w:lang w:val="en-GB" w:eastAsia="en-GB"/>
        </w:rPr>
        <w:t>Demographic change will drive significant growth in the number of people with dementia, even though the percentage of older people developing some types of dementia (particularly vascular dementia) may decline as a result of reductions in hypert</w:t>
      </w:r>
      <w:r w:rsidRPr="00913267">
        <w:rPr>
          <w:rFonts w:eastAsia="Times New Roman"/>
          <w:sz w:val="24"/>
          <w:szCs w:val="24"/>
          <w:lang w:val="en-GB" w:eastAsia="en-GB"/>
        </w:rPr>
        <w:t>ension and other risk factors</w:t>
      </w:r>
      <w:r w:rsidR="00345BFA" w:rsidRPr="00913267">
        <w:rPr>
          <w:rFonts w:eastAsia="Times New Roman"/>
          <w:sz w:val="24"/>
          <w:szCs w:val="24"/>
          <w:lang w:val="en-GB" w:eastAsia="en-GB"/>
        </w:rPr>
        <w:t xml:space="preserve"> (</w:t>
      </w:r>
      <w:r w:rsidR="00FA7510" w:rsidRPr="00913267">
        <w:rPr>
          <w:rFonts w:eastAsia="Times New Roman"/>
          <w:sz w:val="24"/>
          <w:szCs w:val="24"/>
          <w:lang w:val="en-GB" w:eastAsia="en-GB"/>
        </w:rPr>
        <w:t xml:space="preserve">Snell T, Wittenberg R, Fernandez JL, </w:t>
      </w:r>
      <w:proofErr w:type="spellStart"/>
      <w:r w:rsidR="00FA7510" w:rsidRPr="00913267">
        <w:rPr>
          <w:rFonts w:eastAsia="Times New Roman"/>
          <w:sz w:val="24"/>
          <w:szCs w:val="24"/>
          <w:lang w:val="en-GB" w:eastAsia="en-GB"/>
        </w:rPr>
        <w:t>Mal</w:t>
      </w:r>
      <w:r w:rsidR="00345BFA" w:rsidRPr="00913267">
        <w:rPr>
          <w:rFonts w:eastAsia="Times New Roman"/>
          <w:sz w:val="24"/>
          <w:szCs w:val="24"/>
          <w:lang w:val="en-GB" w:eastAsia="en-GB"/>
        </w:rPr>
        <w:t>ley</w:t>
      </w:r>
      <w:proofErr w:type="spellEnd"/>
      <w:r w:rsidR="00345BFA" w:rsidRPr="00913267">
        <w:rPr>
          <w:rFonts w:eastAsia="Times New Roman"/>
          <w:sz w:val="24"/>
          <w:szCs w:val="24"/>
          <w:lang w:val="en-GB" w:eastAsia="en-GB"/>
        </w:rPr>
        <w:t xml:space="preserve"> J, Comas-Herrera A, King D</w:t>
      </w:r>
      <w:r w:rsidR="00556325" w:rsidRPr="00913267">
        <w:rPr>
          <w:rFonts w:eastAsia="Times New Roman"/>
          <w:sz w:val="24"/>
          <w:szCs w:val="24"/>
          <w:lang w:val="en-GB" w:eastAsia="en-GB"/>
        </w:rPr>
        <w:t xml:space="preserve">, </w:t>
      </w:r>
      <w:r w:rsidR="00556325" w:rsidRPr="00913267">
        <w:rPr>
          <w:rFonts w:eastAsia="Times New Roman"/>
          <w:b/>
          <w:sz w:val="24"/>
          <w:szCs w:val="24"/>
          <w:lang w:val="en-GB" w:eastAsia="en-GB"/>
        </w:rPr>
        <w:t>2011</w:t>
      </w:r>
      <w:r w:rsidR="00556325" w:rsidRPr="00913267">
        <w:rPr>
          <w:rFonts w:eastAsia="Times New Roman"/>
          <w:sz w:val="24"/>
          <w:szCs w:val="24"/>
          <w:lang w:val="en-GB" w:eastAsia="en-GB"/>
        </w:rPr>
        <w:t>)</w:t>
      </w:r>
      <w:r w:rsidRPr="00E359C3">
        <w:rPr>
          <w:rFonts w:eastAsia="Times New Roman"/>
          <w:sz w:val="24"/>
          <w:szCs w:val="24"/>
          <w:lang w:val="en-GB" w:eastAsia="en-GB"/>
        </w:rPr>
        <w:t>.</w:t>
      </w:r>
    </w:p>
    <w:p w:rsidR="00FA7510" w:rsidRPr="00E359C3" w:rsidRDefault="00FA7510" w:rsidP="005A5C05">
      <w:pPr>
        <w:spacing w:line="276" w:lineRule="auto"/>
        <w:jc w:val="both"/>
        <w:rPr>
          <w:rFonts w:eastAsia="Times New Roman"/>
          <w:sz w:val="24"/>
          <w:szCs w:val="24"/>
          <w:lang w:val="en-GB" w:eastAsia="en-GB"/>
        </w:rPr>
      </w:pPr>
    </w:p>
    <w:p w:rsidR="00345BFA" w:rsidRPr="00913267" w:rsidRDefault="005A5C05" w:rsidP="005A5C05">
      <w:pPr>
        <w:spacing w:line="276" w:lineRule="auto"/>
        <w:jc w:val="both"/>
        <w:rPr>
          <w:rFonts w:eastAsia="Times New Roman"/>
          <w:sz w:val="24"/>
          <w:szCs w:val="24"/>
          <w:lang w:val="en-GB" w:eastAsia="en-GB"/>
        </w:rPr>
      </w:pPr>
      <w:r w:rsidRPr="00E359C3">
        <w:rPr>
          <w:rFonts w:eastAsia="Times New Roman"/>
          <w:sz w:val="24"/>
          <w:szCs w:val="24"/>
          <w:lang w:val="en-GB" w:eastAsia="en-GB"/>
        </w:rPr>
        <w:t>Research suggests that approximately one in four patients in acute hospitals have dementia and that these needs are n</w:t>
      </w:r>
      <w:r w:rsidR="00345BFA" w:rsidRPr="00913267">
        <w:rPr>
          <w:rFonts w:eastAsia="Times New Roman"/>
          <w:sz w:val="24"/>
          <w:szCs w:val="24"/>
          <w:lang w:val="en-GB" w:eastAsia="en-GB"/>
        </w:rPr>
        <w:t xml:space="preserve">ot currently well responded to </w:t>
      </w:r>
      <w:proofErr w:type="spellStart"/>
      <w:r w:rsidR="00FA7510" w:rsidRPr="00913267">
        <w:rPr>
          <w:rFonts w:eastAsia="Times New Roman"/>
          <w:sz w:val="24"/>
          <w:szCs w:val="24"/>
          <w:lang w:val="en-GB" w:eastAsia="en-GB"/>
        </w:rPr>
        <w:t>Lakey</w:t>
      </w:r>
      <w:proofErr w:type="spellEnd"/>
      <w:r w:rsidR="00FA7510" w:rsidRPr="00913267">
        <w:rPr>
          <w:rFonts w:eastAsia="Times New Roman"/>
          <w:sz w:val="24"/>
          <w:szCs w:val="24"/>
          <w:lang w:val="en-GB" w:eastAsia="en-GB"/>
        </w:rPr>
        <w:t xml:space="preserve"> (</w:t>
      </w:r>
      <w:r w:rsidR="00FA7510" w:rsidRPr="00913267">
        <w:rPr>
          <w:rFonts w:eastAsia="Times New Roman"/>
          <w:b/>
          <w:sz w:val="24"/>
          <w:szCs w:val="24"/>
          <w:lang w:val="en-GB" w:eastAsia="en-GB"/>
        </w:rPr>
        <w:t>2009</w:t>
      </w:r>
      <w:r w:rsidR="00FA7510" w:rsidRPr="00913267">
        <w:rPr>
          <w:rFonts w:eastAsia="Times New Roman"/>
          <w:sz w:val="24"/>
          <w:szCs w:val="24"/>
          <w:lang w:val="en-GB" w:eastAsia="en-GB"/>
        </w:rPr>
        <w:t xml:space="preserve">). </w:t>
      </w:r>
    </w:p>
    <w:p w:rsidR="00345BFA" w:rsidRPr="00913267" w:rsidRDefault="00345BFA" w:rsidP="005A5C05">
      <w:pPr>
        <w:spacing w:line="276" w:lineRule="auto"/>
        <w:jc w:val="both"/>
        <w:rPr>
          <w:rFonts w:eastAsia="Times New Roman"/>
          <w:sz w:val="24"/>
          <w:szCs w:val="24"/>
          <w:lang w:val="en-GB" w:eastAsia="en-GB"/>
        </w:rPr>
      </w:pPr>
    </w:p>
    <w:p w:rsidR="00345BFA" w:rsidRPr="00913267" w:rsidRDefault="005A5C05" w:rsidP="005A5C05">
      <w:pPr>
        <w:spacing w:line="276" w:lineRule="auto"/>
        <w:jc w:val="both"/>
        <w:rPr>
          <w:rFonts w:eastAsia="Times New Roman"/>
          <w:sz w:val="24"/>
          <w:szCs w:val="24"/>
          <w:lang w:val="en-GB" w:eastAsia="en-GB"/>
        </w:rPr>
      </w:pPr>
      <w:r w:rsidRPr="00E359C3">
        <w:rPr>
          <w:rFonts w:eastAsia="Times New Roman"/>
          <w:sz w:val="24"/>
          <w:szCs w:val="24"/>
          <w:lang w:val="en-GB" w:eastAsia="en-GB"/>
        </w:rPr>
        <w:t>Staff in acute settings and care homes may need extra training in caring for people with dementia and delirium.</w:t>
      </w:r>
      <w:r w:rsidR="00345BFA" w:rsidRPr="00913267">
        <w:rPr>
          <w:rFonts w:eastAsia="Times New Roman"/>
          <w:sz w:val="24"/>
          <w:szCs w:val="24"/>
          <w:lang w:val="en-GB" w:eastAsia="en-GB"/>
        </w:rPr>
        <w:t xml:space="preserve"> </w:t>
      </w:r>
      <w:r w:rsidRPr="00E359C3">
        <w:rPr>
          <w:rFonts w:eastAsia="Times New Roman"/>
          <w:sz w:val="24"/>
          <w:szCs w:val="24"/>
          <w:lang w:val="en-GB" w:eastAsia="en-GB"/>
        </w:rPr>
        <w:t>The cost of dementia will rise by 61 per cent to £24 billion by 2026 (at 2007 prices), with most of this cost being met by social care and by individuals and</w:t>
      </w:r>
      <w:r w:rsidR="00345BFA" w:rsidRPr="00913267">
        <w:rPr>
          <w:rFonts w:eastAsia="Times New Roman"/>
          <w:sz w:val="24"/>
          <w:szCs w:val="24"/>
          <w:lang w:val="en-GB" w:eastAsia="en-GB"/>
        </w:rPr>
        <w:t xml:space="preserve"> families rather than the NHS (</w:t>
      </w:r>
      <w:proofErr w:type="spellStart"/>
      <w:r w:rsidR="00345BFA" w:rsidRPr="00913267">
        <w:rPr>
          <w:rFonts w:eastAsia="Times New Roman"/>
          <w:sz w:val="24"/>
          <w:szCs w:val="24"/>
          <w:lang w:val="en-GB" w:eastAsia="en-GB"/>
        </w:rPr>
        <w:t>McCrone</w:t>
      </w:r>
      <w:proofErr w:type="spellEnd"/>
      <w:r w:rsidR="00345BFA" w:rsidRPr="00913267">
        <w:rPr>
          <w:rFonts w:eastAsia="Times New Roman"/>
          <w:sz w:val="24"/>
          <w:szCs w:val="24"/>
          <w:lang w:val="en-GB" w:eastAsia="en-GB"/>
        </w:rPr>
        <w:t xml:space="preserve"> P, </w:t>
      </w:r>
      <w:proofErr w:type="spellStart"/>
      <w:r w:rsidR="00345BFA" w:rsidRPr="00913267">
        <w:rPr>
          <w:rFonts w:eastAsia="Times New Roman"/>
          <w:sz w:val="24"/>
          <w:szCs w:val="24"/>
          <w:lang w:val="en-GB" w:eastAsia="en-GB"/>
        </w:rPr>
        <w:t>Dhanasiri</w:t>
      </w:r>
      <w:proofErr w:type="spellEnd"/>
      <w:r w:rsidR="00345BFA" w:rsidRPr="00913267">
        <w:rPr>
          <w:rFonts w:eastAsia="Times New Roman"/>
          <w:sz w:val="24"/>
          <w:szCs w:val="24"/>
          <w:lang w:val="en-GB" w:eastAsia="en-GB"/>
        </w:rPr>
        <w:t xml:space="preserve"> S, Pa</w:t>
      </w:r>
      <w:r w:rsidR="00556325" w:rsidRPr="00913267">
        <w:rPr>
          <w:rFonts w:eastAsia="Times New Roman"/>
          <w:sz w:val="24"/>
          <w:szCs w:val="24"/>
          <w:lang w:val="en-GB" w:eastAsia="en-GB"/>
        </w:rPr>
        <w:t xml:space="preserve">tel A, Knapp M, Lawton-Smith S, </w:t>
      </w:r>
      <w:r w:rsidR="00345BFA" w:rsidRPr="00913267">
        <w:rPr>
          <w:rFonts w:eastAsia="Times New Roman"/>
          <w:b/>
          <w:sz w:val="24"/>
          <w:szCs w:val="24"/>
          <w:lang w:val="en-GB" w:eastAsia="en-GB"/>
        </w:rPr>
        <w:t>2008</w:t>
      </w:r>
      <w:r w:rsidR="00345BFA" w:rsidRPr="00913267">
        <w:rPr>
          <w:rFonts w:eastAsia="Times New Roman"/>
          <w:sz w:val="24"/>
          <w:szCs w:val="24"/>
          <w:lang w:val="en-GB" w:eastAsia="en-GB"/>
        </w:rPr>
        <w:t>)</w:t>
      </w:r>
      <w:r w:rsidRPr="00E359C3">
        <w:rPr>
          <w:rFonts w:eastAsia="Times New Roman"/>
          <w:sz w:val="24"/>
          <w:szCs w:val="24"/>
          <w:lang w:val="en-GB" w:eastAsia="en-GB"/>
        </w:rPr>
        <w:t xml:space="preserve">. </w:t>
      </w:r>
    </w:p>
    <w:p w:rsidR="00345BFA" w:rsidRPr="00913267" w:rsidRDefault="00345BFA" w:rsidP="005A5C05">
      <w:pPr>
        <w:spacing w:line="276" w:lineRule="auto"/>
        <w:jc w:val="both"/>
        <w:rPr>
          <w:rFonts w:eastAsia="Times New Roman"/>
          <w:sz w:val="24"/>
          <w:szCs w:val="24"/>
          <w:lang w:val="en-GB" w:eastAsia="en-GB"/>
        </w:rPr>
      </w:pPr>
    </w:p>
    <w:p w:rsidR="005A5C05" w:rsidRPr="00E359C3" w:rsidRDefault="00345BFA" w:rsidP="005A5C05">
      <w:pPr>
        <w:spacing w:line="276" w:lineRule="auto"/>
        <w:jc w:val="both"/>
        <w:rPr>
          <w:rFonts w:eastAsia="Times New Roman"/>
          <w:sz w:val="24"/>
          <w:szCs w:val="24"/>
          <w:lang w:val="en-GB" w:eastAsia="en-GB"/>
        </w:rPr>
      </w:pPr>
      <w:r w:rsidRPr="00913267">
        <w:rPr>
          <w:rFonts w:eastAsia="Times New Roman"/>
          <w:sz w:val="24"/>
          <w:szCs w:val="24"/>
          <w:lang w:val="en-GB" w:eastAsia="en-GB"/>
        </w:rPr>
        <w:t>Harrow has to look at ways of d</w:t>
      </w:r>
      <w:r w:rsidR="005A5C05" w:rsidRPr="00E359C3">
        <w:rPr>
          <w:rFonts w:eastAsia="Times New Roman"/>
          <w:sz w:val="24"/>
          <w:szCs w:val="24"/>
          <w:lang w:val="en-GB" w:eastAsia="en-GB"/>
        </w:rPr>
        <w:t>evelop</w:t>
      </w:r>
      <w:r w:rsidRPr="00913267">
        <w:rPr>
          <w:rFonts w:eastAsia="Times New Roman"/>
          <w:sz w:val="24"/>
          <w:szCs w:val="24"/>
          <w:lang w:val="en-GB" w:eastAsia="en-GB"/>
        </w:rPr>
        <w:t>ing</w:t>
      </w:r>
      <w:r w:rsidR="005A5C05" w:rsidRPr="00E359C3">
        <w:rPr>
          <w:rFonts w:eastAsia="Times New Roman"/>
          <w:sz w:val="24"/>
          <w:szCs w:val="24"/>
          <w:lang w:val="en-GB" w:eastAsia="en-GB"/>
        </w:rPr>
        <w:t xml:space="preserve"> effective preventive</w:t>
      </w:r>
      <w:r w:rsidRPr="00913267">
        <w:rPr>
          <w:rFonts w:eastAsia="Times New Roman"/>
          <w:sz w:val="24"/>
          <w:szCs w:val="24"/>
          <w:lang w:val="en-GB" w:eastAsia="en-GB"/>
        </w:rPr>
        <w:t>/management</w:t>
      </w:r>
      <w:r w:rsidR="005A5C05" w:rsidRPr="00E359C3">
        <w:rPr>
          <w:rFonts w:eastAsia="Times New Roman"/>
          <w:sz w:val="24"/>
          <w:szCs w:val="24"/>
          <w:lang w:val="en-GB" w:eastAsia="en-GB"/>
        </w:rPr>
        <w:t xml:space="preserve"> interventions</w:t>
      </w:r>
      <w:r w:rsidRPr="00913267">
        <w:rPr>
          <w:rFonts w:eastAsia="Times New Roman"/>
          <w:sz w:val="24"/>
          <w:szCs w:val="24"/>
          <w:lang w:val="en-GB" w:eastAsia="en-GB"/>
        </w:rPr>
        <w:t xml:space="preserve"> that</w:t>
      </w:r>
      <w:r w:rsidR="005A5C05" w:rsidRPr="00E359C3">
        <w:rPr>
          <w:rFonts w:eastAsia="Times New Roman"/>
          <w:sz w:val="24"/>
          <w:szCs w:val="24"/>
          <w:lang w:val="en-GB" w:eastAsia="en-GB"/>
        </w:rPr>
        <w:t xml:space="preserve"> could </w:t>
      </w:r>
      <w:r w:rsidRPr="00913267">
        <w:rPr>
          <w:rFonts w:eastAsia="Times New Roman"/>
          <w:sz w:val="24"/>
          <w:szCs w:val="24"/>
          <w:lang w:val="en-GB" w:eastAsia="en-GB"/>
        </w:rPr>
        <w:t>offset some of these</w:t>
      </w:r>
      <w:r w:rsidR="005A5C05" w:rsidRPr="00E359C3">
        <w:rPr>
          <w:rFonts w:eastAsia="Times New Roman"/>
          <w:sz w:val="24"/>
          <w:szCs w:val="24"/>
          <w:lang w:val="en-GB" w:eastAsia="en-GB"/>
        </w:rPr>
        <w:t xml:space="preserve"> significant </w:t>
      </w:r>
      <w:r w:rsidRPr="00913267">
        <w:rPr>
          <w:rFonts w:eastAsia="Times New Roman"/>
          <w:sz w:val="24"/>
          <w:szCs w:val="24"/>
          <w:lang w:val="en-GB" w:eastAsia="en-GB"/>
        </w:rPr>
        <w:t>costs</w:t>
      </w:r>
      <w:r w:rsidR="0086560D" w:rsidRPr="00913267">
        <w:rPr>
          <w:rFonts w:eastAsia="Times New Roman"/>
          <w:sz w:val="24"/>
          <w:szCs w:val="24"/>
          <w:lang w:val="en-GB" w:eastAsia="en-GB"/>
        </w:rPr>
        <w:t xml:space="preserve"> in view of its local fiscal challenges</w:t>
      </w:r>
      <w:r w:rsidR="005A5C05" w:rsidRPr="00E359C3">
        <w:rPr>
          <w:rFonts w:eastAsia="Times New Roman"/>
          <w:sz w:val="24"/>
          <w:szCs w:val="24"/>
          <w:lang w:val="en-GB" w:eastAsia="en-GB"/>
        </w:rPr>
        <w:t>.</w:t>
      </w:r>
    </w:p>
    <w:p w:rsidR="005A5C05" w:rsidRPr="00913267" w:rsidRDefault="005A5C05" w:rsidP="005A5C05">
      <w:pPr>
        <w:spacing w:line="276" w:lineRule="auto"/>
        <w:jc w:val="both"/>
        <w:outlineLvl w:val="2"/>
        <w:rPr>
          <w:rFonts w:eastAsia="Times New Roman"/>
          <w:b/>
          <w:bCs/>
          <w:sz w:val="27"/>
          <w:szCs w:val="27"/>
          <w:lang w:val="en-GB" w:eastAsia="en-GB"/>
        </w:rPr>
      </w:pPr>
    </w:p>
    <w:p w:rsidR="00345BFA" w:rsidRDefault="00345BFA" w:rsidP="005A5C05">
      <w:pPr>
        <w:spacing w:line="276" w:lineRule="auto"/>
        <w:jc w:val="both"/>
        <w:outlineLvl w:val="2"/>
        <w:rPr>
          <w:rFonts w:eastAsia="Times New Roman"/>
          <w:b/>
          <w:bCs/>
          <w:sz w:val="27"/>
          <w:szCs w:val="27"/>
          <w:lang w:val="en-GB" w:eastAsia="en-GB"/>
        </w:rPr>
      </w:pPr>
    </w:p>
    <w:p w:rsidR="007C4EA5" w:rsidRPr="00913267" w:rsidRDefault="007C4EA5" w:rsidP="005A5C05">
      <w:pPr>
        <w:spacing w:line="276" w:lineRule="auto"/>
        <w:jc w:val="both"/>
        <w:outlineLvl w:val="2"/>
        <w:rPr>
          <w:rFonts w:eastAsia="Times New Roman"/>
          <w:b/>
          <w:bCs/>
          <w:sz w:val="27"/>
          <w:szCs w:val="27"/>
          <w:lang w:val="en-GB" w:eastAsia="en-GB"/>
        </w:rPr>
      </w:pPr>
    </w:p>
    <w:p w:rsidR="00345BFA" w:rsidRPr="00913267" w:rsidRDefault="00345BFA" w:rsidP="005A5C05">
      <w:pPr>
        <w:spacing w:line="276" w:lineRule="auto"/>
        <w:jc w:val="both"/>
        <w:outlineLvl w:val="2"/>
        <w:rPr>
          <w:rFonts w:eastAsia="Times New Roman"/>
          <w:b/>
          <w:bCs/>
          <w:sz w:val="27"/>
          <w:szCs w:val="27"/>
          <w:lang w:val="en-GB" w:eastAsia="en-GB"/>
        </w:rPr>
      </w:pPr>
    </w:p>
    <w:p w:rsidR="00345BFA" w:rsidRPr="00913267" w:rsidRDefault="00345BFA" w:rsidP="005A5C05">
      <w:pPr>
        <w:spacing w:line="276" w:lineRule="auto"/>
        <w:jc w:val="both"/>
        <w:outlineLvl w:val="2"/>
        <w:rPr>
          <w:rFonts w:eastAsia="Times New Roman"/>
          <w:b/>
          <w:bCs/>
          <w:sz w:val="27"/>
          <w:szCs w:val="27"/>
          <w:lang w:val="en-GB" w:eastAsia="en-GB"/>
        </w:rPr>
      </w:pPr>
    </w:p>
    <w:p w:rsidR="00345BFA" w:rsidRPr="00913267" w:rsidRDefault="00345BFA" w:rsidP="005A5C05">
      <w:pPr>
        <w:spacing w:line="276" w:lineRule="auto"/>
        <w:jc w:val="both"/>
        <w:outlineLvl w:val="2"/>
        <w:rPr>
          <w:rFonts w:eastAsia="Times New Roman"/>
          <w:b/>
          <w:bCs/>
          <w:sz w:val="27"/>
          <w:szCs w:val="27"/>
          <w:lang w:val="en-GB" w:eastAsia="en-GB"/>
        </w:rPr>
      </w:pPr>
    </w:p>
    <w:p w:rsidR="005A5C05" w:rsidRPr="00E359C3" w:rsidRDefault="005A5C05" w:rsidP="005A5C05">
      <w:pPr>
        <w:spacing w:line="276" w:lineRule="auto"/>
        <w:jc w:val="both"/>
        <w:outlineLvl w:val="2"/>
        <w:rPr>
          <w:rFonts w:eastAsia="Times New Roman"/>
          <w:b/>
          <w:bCs/>
          <w:sz w:val="24"/>
          <w:szCs w:val="27"/>
          <w:lang w:val="en-GB" w:eastAsia="en-GB"/>
        </w:rPr>
      </w:pPr>
      <w:r w:rsidRPr="00E359C3">
        <w:rPr>
          <w:rFonts w:eastAsia="Times New Roman"/>
          <w:b/>
          <w:bCs/>
          <w:sz w:val="24"/>
          <w:szCs w:val="27"/>
          <w:lang w:val="en-GB" w:eastAsia="en-GB"/>
        </w:rPr>
        <w:t>Projected UK dementia trends</w:t>
      </w:r>
    </w:p>
    <w:p w:rsidR="005A5C05" w:rsidRPr="00E359C3" w:rsidRDefault="005A5C05" w:rsidP="005A5C05">
      <w:pPr>
        <w:jc w:val="both"/>
        <w:rPr>
          <w:rFonts w:asciiTheme="minorHAnsi" w:eastAsia="Times New Roman" w:hAnsiTheme="minorHAnsi" w:cstheme="minorHAnsi"/>
          <w:sz w:val="24"/>
          <w:szCs w:val="24"/>
          <w:lang w:val="en-GB" w:eastAsia="en-GB"/>
        </w:rPr>
      </w:pPr>
      <w:r w:rsidRPr="00913267">
        <w:rPr>
          <w:rFonts w:asciiTheme="minorHAnsi" w:eastAsia="Times New Roman" w:hAnsiTheme="minorHAnsi" w:cstheme="minorHAnsi"/>
          <w:noProof/>
          <w:sz w:val="24"/>
          <w:szCs w:val="24"/>
          <w:lang w:val="en-GB" w:eastAsia="en-GB"/>
        </w:rPr>
        <w:drawing>
          <wp:inline distT="0" distB="0" distL="0" distR="0" wp14:anchorId="2D3D16E5" wp14:editId="1BA418C6">
            <wp:extent cx="5531029" cy="2952000"/>
            <wp:effectExtent l="0" t="0" r="0" b="1270"/>
            <wp:docPr id="18" name="Picture 18" descr="Projected number of people with late-onset dementia by age group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ed number of people with late-onset dementia by age group (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1029" cy="2952000"/>
                    </a:xfrm>
                    <a:prstGeom prst="rect">
                      <a:avLst/>
                    </a:prstGeom>
                    <a:noFill/>
                    <a:ln>
                      <a:noFill/>
                    </a:ln>
                  </pic:spPr>
                </pic:pic>
              </a:graphicData>
            </a:graphic>
          </wp:inline>
        </w:drawing>
      </w:r>
    </w:p>
    <w:p w:rsidR="005A5C05" w:rsidRPr="00E359C3" w:rsidRDefault="005A5C05" w:rsidP="005A5C05">
      <w:pPr>
        <w:spacing w:before="100" w:beforeAutospacing="1" w:after="100" w:afterAutospacing="1"/>
        <w:jc w:val="both"/>
        <w:rPr>
          <w:rFonts w:asciiTheme="minorHAnsi" w:eastAsia="Times New Roman" w:hAnsiTheme="minorHAnsi" w:cstheme="minorHAnsi"/>
          <w:sz w:val="20"/>
          <w:szCs w:val="24"/>
          <w:lang w:val="en-GB" w:eastAsia="en-GB"/>
        </w:rPr>
      </w:pPr>
      <w:r w:rsidRPr="00E359C3">
        <w:rPr>
          <w:rFonts w:asciiTheme="minorHAnsi" w:eastAsia="Times New Roman" w:hAnsiTheme="minorHAnsi" w:cstheme="minorHAnsi"/>
          <w:sz w:val="20"/>
          <w:szCs w:val="24"/>
          <w:lang w:val="en-GB" w:eastAsia="en-GB"/>
        </w:rPr>
        <w:t xml:space="preserve">Source: Knapp M, Prince M </w:t>
      </w:r>
      <w:r w:rsidRPr="00E359C3">
        <w:rPr>
          <w:rFonts w:asciiTheme="minorHAnsi" w:eastAsia="Times New Roman" w:hAnsiTheme="minorHAnsi" w:cstheme="minorHAnsi"/>
          <w:b/>
          <w:sz w:val="20"/>
          <w:szCs w:val="24"/>
          <w:lang w:val="en-GB" w:eastAsia="en-GB"/>
        </w:rPr>
        <w:t>(2007)</w:t>
      </w:r>
      <w:r w:rsidRPr="00E359C3">
        <w:rPr>
          <w:rFonts w:asciiTheme="minorHAnsi" w:eastAsia="Times New Roman" w:hAnsiTheme="minorHAnsi" w:cstheme="minorHAnsi"/>
          <w:sz w:val="20"/>
          <w:szCs w:val="24"/>
          <w:lang w:val="en-GB" w:eastAsia="en-GB"/>
        </w:rPr>
        <w:t xml:space="preserve">. </w:t>
      </w:r>
      <w:proofErr w:type="gramStart"/>
      <w:r w:rsidRPr="00E359C3">
        <w:rPr>
          <w:rFonts w:asciiTheme="minorHAnsi" w:eastAsia="Times New Roman" w:hAnsiTheme="minorHAnsi" w:cstheme="minorHAnsi"/>
          <w:sz w:val="20"/>
          <w:szCs w:val="24"/>
          <w:lang w:val="en-GB" w:eastAsia="en-GB"/>
        </w:rPr>
        <w:t>Report.</w:t>
      </w:r>
      <w:proofErr w:type="gramEnd"/>
      <w:r w:rsidRPr="00E359C3">
        <w:rPr>
          <w:rFonts w:asciiTheme="minorHAnsi" w:eastAsia="Times New Roman" w:hAnsiTheme="minorHAnsi" w:cstheme="minorHAnsi"/>
          <w:sz w:val="20"/>
          <w:szCs w:val="24"/>
          <w:lang w:val="en-GB" w:eastAsia="en-GB"/>
        </w:rPr>
        <w:t xml:space="preserve"> </w:t>
      </w:r>
      <w:hyperlink r:id="rId14" w:tgtFrame="_blank" w:history="1">
        <w:r w:rsidRPr="00913267">
          <w:rPr>
            <w:rFonts w:asciiTheme="minorHAnsi" w:eastAsia="Times New Roman" w:hAnsiTheme="minorHAnsi" w:cstheme="minorHAnsi"/>
            <w:color w:val="0000FF"/>
            <w:sz w:val="20"/>
            <w:szCs w:val="24"/>
            <w:u w:val="single"/>
            <w:lang w:val="en-GB" w:eastAsia="en-GB"/>
          </w:rPr>
          <w:t xml:space="preserve">Dementia </w:t>
        </w:r>
        <w:proofErr w:type="spellStart"/>
        <w:r w:rsidRPr="00913267">
          <w:rPr>
            <w:rFonts w:asciiTheme="minorHAnsi" w:eastAsia="Times New Roman" w:hAnsiTheme="minorHAnsi" w:cstheme="minorHAnsi"/>
            <w:color w:val="0000FF"/>
            <w:sz w:val="20"/>
            <w:szCs w:val="24"/>
            <w:u w:val="single"/>
            <w:lang w:val="en-GB" w:eastAsia="en-GB"/>
          </w:rPr>
          <w:t>UK</w:t>
        </w:r>
      </w:hyperlink>
      <w:r w:rsidRPr="00913267">
        <w:rPr>
          <w:rFonts w:asciiTheme="minorHAnsi" w:eastAsia="Times New Roman" w:hAnsiTheme="minorHAnsi" w:cstheme="minorHAnsi"/>
          <w:i/>
          <w:iCs/>
          <w:sz w:val="20"/>
          <w:szCs w:val="24"/>
          <w:lang w:val="en-GB" w:eastAsia="en-GB"/>
        </w:rPr>
        <w:t>London</w:t>
      </w:r>
      <w:proofErr w:type="spellEnd"/>
      <w:r w:rsidRPr="00913267">
        <w:rPr>
          <w:rFonts w:asciiTheme="minorHAnsi" w:eastAsia="Times New Roman" w:hAnsiTheme="minorHAnsi" w:cstheme="minorHAnsi"/>
          <w:i/>
          <w:iCs/>
          <w:sz w:val="20"/>
          <w:szCs w:val="24"/>
          <w:lang w:val="en-GB" w:eastAsia="en-GB"/>
        </w:rPr>
        <w:t xml:space="preserve"> School of Economics, King’s College London and The Alzheimer’s Society </w:t>
      </w:r>
    </w:p>
    <w:p w:rsidR="005A5C05" w:rsidRPr="00913267" w:rsidRDefault="005A5C05" w:rsidP="00C513DC">
      <w:pPr>
        <w:pStyle w:val="BodyText"/>
        <w:spacing w:line="276" w:lineRule="auto"/>
        <w:rPr>
          <w:lang w:val="en-GB"/>
        </w:rPr>
      </w:pPr>
    </w:p>
    <w:p w:rsidR="00064AF7" w:rsidRPr="00913267" w:rsidRDefault="00064AF7" w:rsidP="00117BFD">
      <w:pPr>
        <w:spacing w:line="276" w:lineRule="auto"/>
        <w:rPr>
          <w:color w:val="FF0000"/>
          <w:sz w:val="20"/>
          <w:lang w:val="en-GB"/>
        </w:rPr>
      </w:pPr>
    </w:p>
    <w:p w:rsidR="00F445A5" w:rsidRPr="00913267" w:rsidRDefault="0017216C" w:rsidP="00117BFD">
      <w:pPr>
        <w:pStyle w:val="BodyText"/>
        <w:spacing w:line="276" w:lineRule="auto"/>
        <w:jc w:val="both"/>
        <w:rPr>
          <w:u w:val="single"/>
          <w:lang w:val="en-GB"/>
        </w:rPr>
      </w:pPr>
      <w:r w:rsidRPr="00913267">
        <w:rPr>
          <w:u w:val="single"/>
          <w:lang w:val="en-GB"/>
        </w:rPr>
        <w:t>The National Dementia Strategy</w:t>
      </w:r>
    </w:p>
    <w:p w:rsidR="00F445A5" w:rsidRPr="00913267" w:rsidRDefault="00F445A5" w:rsidP="00117BFD">
      <w:pPr>
        <w:pStyle w:val="BodyText"/>
        <w:spacing w:line="276" w:lineRule="auto"/>
        <w:jc w:val="both"/>
        <w:rPr>
          <w:lang w:val="en-GB"/>
        </w:rPr>
      </w:pPr>
    </w:p>
    <w:p w:rsidR="00064AF7" w:rsidRPr="00913267" w:rsidRDefault="0017216C" w:rsidP="00117BFD">
      <w:pPr>
        <w:pStyle w:val="BodyText"/>
        <w:spacing w:line="276" w:lineRule="auto"/>
        <w:jc w:val="both"/>
        <w:rPr>
          <w:lang w:val="en-GB"/>
        </w:rPr>
      </w:pPr>
      <w:r w:rsidRPr="00913267">
        <w:rPr>
          <w:lang w:val="en-GB"/>
        </w:rPr>
        <w:t>Dementia is</w:t>
      </w:r>
      <w:r w:rsidR="00064AF7" w:rsidRPr="00913267">
        <w:rPr>
          <w:lang w:val="en-GB"/>
        </w:rPr>
        <w:t xml:space="preserve"> currently estimated to cost £26</w:t>
      </w:r>
      <w:r w:rsidRPr="00913267">
        <w:rPr>
          <w:lang w:val="en-GB"/>
        </w:rPr>
        <w:t xml:space="preserve"> billion to the</w:t>
      </w:r>
      <w:r w:rsidR="00064AF7" w:rsidRPr="00913267">
        <w:rPr>
          <w:lang w:val="en-GB"/>
        </w:rPr>
        <w:t xml:space="preserve"> society more than the cost of cancer, heart disease or stroke and this is expected to triple by 2040.</w:t>
      </w:r>
      <w:r w:rsidR="0086560D" w:rsidRPr="00913267">
        <w:rPr>
          <w:lang w:val="en-GB"/>
        </w:rPr>
        <w:t xml:space="preserve"> </w:t>
      </w:r>
      <w:r w:rsidR="00064AF7" w:rsidRPr="00913267">
        <w:rPr>
          <w:lang w:val="en-GB"/>
        </w:rPr>
        <w:t>Dementia has become a key priority for both NHS England and the Government</w:t>
      </w:r>
      <w:r w:rsidR="00556325" w:rsidRPr="00913267">
        <w:rPr>
          <w:lang w:val="en-GB"/>
        </w:rPr>
        <w:t xml:space="preserve"> (Lewis et al, </w:t>
      </w:r>
      <w:r w:rsidR="00556325" w:rsidRPr="00913267">
        <w:rPr>
          <w:b/>
          <w:lang w:val="en-GB"/>
        </w:rPr>
        <w:t>2014</w:t>
      </w:r>
      <w:r w:rsidR="00556325" w:rsidRPr="00913267">
        <w:rPr>
          <w:lang w:val="en-GB"/>
        </w:rPr>
        <w:t>)</w:t>
      </w:r>
      <w:r w:rsidR="00064AF7" w:rsidRPr="00913267">
        <w:rPr>
          <w:lang w:val="en-GB"/>
        </w:rPr>
        <w:t>.</w:t>
      </w:r>
    </w:p>
    <w:p w:rsidR="00064AF7" w:rsidRPr="00913267" w:rsidRDefault="00064AF7" w:rsidP="00117BFD">
      <w:pPr>
        <w:pStyle w:val="BodyText"/>
        <w:spacing w:line="276" w:lineRule="auto"/>
        <w:jc w:val="both"/>
        <w:rPr>
          <w:lang w:val="en-GB"/>
        </w:rPr>
      </w:pPr>
    </w:p>
    <w:p w:rsidR="00064AF7" w:rsidRPr="00913267" w:rsidRDefault="00064AF7" w:rsidP="00117BFD">
      <w:pPr>
        <w:pStyle w:val="BodyText"/>
        <w:spacing w:line="276" w:lineRule="auto"/>
        <w:jc w:val="both"/>
        <w:rPr>
          <w:lang w:val="en-GB"/>
        </w:rPr>
      </w:pPr>
      <w:r w:rsidRPr="00913267">
        <w:rPr>
          <w:lang w:val="en-GB"/>
        </w:rPr>
        <w:t>NHS England plan to achieve the following by 2020</w:t>
      </w:r>
    </w:p>
    <w:p w:rsidR="00064AF7" w:rsidRPr="00913267" w:rsidRDefault="00064AF7" w:rsidP="00117BFD">
      <w:pPr>
        <w:pStyle w:val="BodyText"/>
        <w:spacing w:line="276" w:lineRule="auto"/>
        <w:jc w:val="both"/>
        <w:rPr>
          <w:lang w:val="en-GB"/>
        </w:rPr>
      </w:pPr>
    </w:p>
    <w:p w:rsidR="00064AF7" w:rsidRPr="00913267" w:rsidRDefault="00064AF7" w:rsidP="00117BFD">
      <w:pPr>
        <w:pStyle w:val="BodyText"/>
        <w:numPr>
          <w:ilvl w:val="0"/>
          <w:numId w:val="13"/>
        </w:numPr>
        <w:spacing w:line="276" w:lineRule="auto"/>
        <w:jc w:val="both"/>
        <w:rPr>
          <w:lang w:val="en-GB"/>
        </w:rPr>
      </w:pPr>
      <w:r w:rsidRPr="00913267">
        <w:rPr>
          <w:lang w:val="en-GB"/>
        </w:rPr>
        <w:t>Equal access to diagnosis for everyone</w:t>
      </w:r>
    </w:p>
    <w:p w:rsidR="00064AF7" w:rsidRPr="00913267" w:rsidRDefault="00064AF7" w:rsidP="00117BFD">
      <w:pPr>
        <w:pStyle w:val="BodyText"/>
        <w:numPr>
          <w:ilvl w:val="0"/>
          <w:numId w:val="13"/>
        </w:numPr>
        <w:spacing w:line="276" w:lineRule="auto"/>
        <w:jc w:val="both"/>
        <w:rPr>
          <w:lang w:val="en-GB"/>
        </w:rPr>
      </w:pPr>
      <w:r w:rsidRPr="00913267">
        <w:rPr>
          <w:lang w:val="en-GB"/>
        </w:rPr>
        <w:t>GPs playing a lead role in ensuring coordination and continuity of care</w:t>
      </w:r>
      <w:r w:rsidR="00AF61B5" w:rsidRPr="00913267">
        <w:rPr>
          <w:lang w:val="en-GB"/>
        </w:rPr>
        <w:t xml:space="preserve"> </w:t>
      </w:r>
      <w:r w:rsidRPr="00913267">
        <w:rPr>
          <w:lang w:val="en-GB"/>
        </w:rPr>
        <w:t xml:space="preserve"> for people with dementia</w:t>
      </w:r>
    </w:p>
    <w:p w:rsidR="00064AF7" w:rsidRPr="00913267" w:rsidRDefault="00064AF7" w:rsidP="00117BFD">
      <w:pPr>
        <w:pStyle w:val="BodyText"/>
        <w:numPr>
          <w:ilvl w:val="0"/>
          <w:numId w:val="13"/>
        </w:numPr>
        <w:spacing w:line="276" w:lineRule="auto"/>
        <w:jc w:val="both"/>
        <w:rPr>
          <w:lang w:val="en-GB"/>
        </w:rPr>
      </w:pPr>
      <w:r w:rsidRPr="00913267">
        <w:rPr>
          <w:lang w:val="en-GB"/>
        </w:rPr>
        <w:t>Every person diagnosed with dementia having meaningful care following their diagnosis</w:t>
      </w:r>
    </w:p>
    <w:p w:rsidR="00064AF7" w:rsidRPr="00913267" w:rsidRDefault="00064AF7" w:rsidP="00117BFD">
      <w:pPr>
        <w:pStyle w:val="BodyText"/>
        <w:numPr>
          <w:ilvl w:val="0"/>
          <w:numId w:val="13"/>
        </w:numPr>
        <w:spacing w:line="276" w:lineRule="auto"/>
        <w:jc w:val="both"/>
        <w:rPr>
          <w:lang w:val="en-GB"/>
        </w:rPr>
      </w:pPr>
      <w:r w:rsidRPr="00913267">
        <w:rPr>
          <w:lang w:val="en-GB"/>
        </w:rPr>
        <w:t>All NHS staff having received training on dementia appropriate to their role.</w:t>
      </w:r>
    </w:p>
    <w:p w:rsidR="00064AF7" w:rsidRPr="00913267" w:rsidRDefault="00064AF7" w:rsidP="00117BFD">
      <w:pPr>
        <w:pStyle w:val="BodyText"/>
        <w:spacing w:line="276" w:lineRule="auto"/>
        <w:jc w:val="both"/>
        <w:rPr>
          <w:lang w:val="en-GB"/>
        </w:rPr>
      </w:pPr>
    </w:p>
    <w:p w:rsidR="00064AF7" w:rsidRPr="00913267" w:rsidRDefault="00064AF7" w:rsidP="00117BFD">
      <w:pPr>
        <w:pStyle w:val="BodyText"/>
        <w:spacing w:line="276" w:lineRule="auto"/>
        <w:jc w:val="both"/>
        <w:rPr>
          <w:u w:val="single"/>
          <w:lang w:val="en-GB"/>
        </w:rPr>
      </w:pPr>
      <w:r w:rsidRPr="00913267">
        <w:rPr>
          <w:u w:val="single"/>
          <w:lang w:val="en-GB"/>
        </w:rPr>
        <w:t>The Prime Minister’s challenge on dementia 2020</w:t>
      </w:r>
    </w:p>
    <w:p w:rsidR="00064AF7" w:rsidRPr="00913267" w:rsidRDefault="00064AF7" w:rsidP="00117BFD">
      <w:pPr>
        <w:pStyle w:val="BodyText"/>
        <w:spacing w:line="276" w:lineRule="auto"/>
        <w:jc w:val="both"/>
        <w:rPr>
          <w:lang w:val="en-GB"/>
        </w:rPr>
      </w:pPr>
    </w:p>
    <w:p w:rsidR="00064AF7" w:rsidRPr="00913267" w:rsidRDefault="00064AF7" w:rsidP="00117BFD">
      <w:pPr>
        <w:pStyle w:val="BodyText"/>
        <w:spacing w:line="276" w:lineRule="auto"/>
        <w:jc w:val="both"/>
        <w:rPr>
          <w:lang w:val="en-GB"/>
        </w:rPr>
      </w:pPr>
      <w:r w:rsidRPr="00913267">
        <w:rPr>
          <w:lang w:val="en-GB"/>
        </w:rPr>
        <w:t>The</w:t>
      </w:r>
      <w:r w:rsidR="00957E38" w:rsidRPr="00913267">
        <w:rPr>
          <w:lang w:val="en-GB"/>
        </w:rPr>
        <w:t xml:space="preserve"> goal of the</w:t>
      </w:r>
      <w:r w:rsidRPr="00913267">
        <w:rPr>
          <w:lang w:val="en-GB"/>
        </w:rPr>
        <w:t xml:space="preserve"> new challenge </w:t>
      </w:r>
      <w:r w:rsidR="00957E38" w:rsidRPr="00913267">
        <w:rPr>
          <w:lang w:val="en-GB"/>
        </w:rPr>
        <w:t>is</w:t>
      </w:r>
      <w:r w:rsidRPr="00913267">
        <w:rPr>
          <w:lang w:val="en-GB"/>
        </w:rPr>
        <w:t xml:space="preserve"> to consolidate and build on the progress made since the first challenge issued by the Prime Minister in 2012. The challenge aims to make England the best place to live well with dementia for patients and families by 2020, and the best place in the world to undertake research into dementia and other neurodegenerative diseases.</w:t>
      </w:r>
    </w:p>
    <w:p w:rsidR="00064AF7" w:rsidRPr="00913267" w:rsidRDefault="00064AF7" w:rsidP="00117BFD">
      <w:pPr>
        <w:pStyle w:val="BodyText"/>
        <w:spacing w:line="276" w:lineRule="auto"/>
        <w:ind w:right="960"/>
        <w:jc w:val="both"/>
        <w:rPr>
          <w:lang w:val="en-GB"/>
        </w:rPr>
      </w:pPr>
    </w:p>
    <w:p w:rsidR="00064AF7" w:rsidRPr="00913267" w:rsidRDefault="00064AF7" w:rsidP="00117BFD">
      <w:pPr>
        <w:pStyle w:val="BodyText"/>
        <w:spacing w:line="276" w:lineRule="auto"/>
        <w:jc w:val="both"/>
        <w:rPr>
          <w:lang w:val="en-GB"/>
        </w:rPr>
      </w:pPr>
      <w:r w:rsidRPr="00913267">
        <w:rPr>
          <w:lang w:val="en-GB"/>
        </w:rPr>
        <w:t>The implementation plan focuses on four core themes:</w:t>
      </w:r>
    </w:p>
    <w:p w:rsidR="0086560D" w:rsidRPr="00913267" w:rsidRDefault="0086560D" w:rsidP="00117BFD">
      <w:pPr>
        <w:pStyle w:val="BodyText"/>
        <w:spacing w:line="276" w:lineRule="auto"/>
        <w:jc w:val="both"/>
        <w:rPr>
          <w:lang w:val="en-GB"/>
        </w:rPr>
      </w:pPr>
    </w:p>
    <w:p w:rsidR="00064AF7" w:rsidRPr="00913267" w:rsidRDefault="00064AF7" w:rsidP="00117BFD">
      <w:pPr>
        <w:pStyle w:val="BodyText"/>
        <w:numPr>
          <w:ilvl w:val="0"/>
          <w:numId w:val="15"/>
        </w:numPr>
        <w:spacing w:line="276" w:lineRule="auto"/>
        <w:jc w:val="both"/>
        <w:rPr>
          <w:lang w:val="en-GB"/>
        </w:rPr>
      </w:pPr>
      <w:r w:rsidRPr="00913267">
        <w:rPr>
          <w:lang w:val="en-GB"/>
        </w:rPr>
        <w:t>Risk reduction</w:t>
      </w:r>
    </w:p>
    <w:p w:rsidR="00064AF7" w:rsidRPr="00913267" w:rsidRDefault="00064AF7" w:rsidP="00117BFD">
      <w:pPr>
        <w:pStyle w:val="BodyText"/>
        <w:numPr>
          <w:ilvl w:val="0"/>
          <w:numId w:val="15"/>
        </w:numPr>
        <w:spacing w:line="276" w:lineRule="auto"/>
        <w:jc w:val="both"/>
        <w:rPr>
          <w:lang w:val="en-GB"/>
        </w:rPr>
      </w:pPr>
      <w:r w:rsidRPr="00913267">
        <w:rPr>
          <w:lang w:val="en-GB"/>
        </w:rPr>
        <w:t xml:space="preserve">Health and care </w:t>
      </w:r>
    </w:p>
    <w:p w:rsidR="00064AF7" w:rsidRPr="00913267" w:rsidRDefault="00064AF7" w:rsidP="00117BFD">
      <w:pPr>
        <w:pStyle w:val="BodyText"/>
        <w:numPr>
          <w:ilvl w:val="0"/>
          <w:numId w:val="15"/>
        </w:numPr>
        <w:spacing w:line="276" w:lineRule="auto"/>
        <w:ind w:right="960"/>
        <w:jc w:val="both"/>
        <w:rPr>
          <w:lang w:val="en-GB"/>
        </w:rPr>
      </w:pPr>
      <w:r w:rsidRPr="00913267">
        <w:rPr>
          <w:lang w:val="en-GB"/>
        </w:rPr>
        <w:t>Awareness and social action</w:t>
      </w:r>
    </w:p>
    <w:p w:rsidR="00064AF7" w:rsidRPr="00913267" w:rsidRDefault="00064AF7" w:rsidP="00117BFD">
      <w:pPr>
        <w:pStyle w:val="BodyText"/>
        <w:numPr>
          <w:ilvl w:val="0"/>
          <w:numId w:val="15"/>
        </w:numPr>
        <w:spacing w:line="276" w:lineRule="auto"/>
        <w:ind w:right="960"/>
        <w:jc w:val="both"/>
        <w:rPr>
          <w:lang w:val="en-GB"/>
        </w:rPr>
      </w:pPr>
      <w:r w:rsidRPr="00913267">
        <w:rPr>
          <w:lang w:val="en-GB"/>
        </w:rPr>
        <w:t xml:space="preserve">Research. </w:t>
      </w:r>
    </w:p>
    <w:p w:rsidR="00064AF7" w:rsidRPr="00913267" w:rsidRDefault="00064AF7" w:rsidP="00117BFD">
      <w:pPr>
        <w:pStyle w:val="BodyText"/>
        <w:spacing w:line="276" w:lineRule="auto"/>
        <w:ind w:left="720" w:right="960"/>
        <w:jc w:val="both"/>
        <w:rPr>
          <w:color w:val="FF0000"/>
          <w:lang w:val="en-GB"/>
        </w:rPr>
      </w:pPr>
    </w:p>
    <w:p w:rsidR="00064AF7" w:rsidRPr="00913267" w:rsidRDefault="00064AF7" w:rsidP="00117BFD">
      <w:pPr>
        <w:pStyle w:val="BodyText"/>
        <w:spacing w:line="276" w:lineRule="auto"/>
        <w:jc w:val="both"/>
        <w:rPr>
          <w:lang w:val="en-GB"/>
        </w:rPr>
      </w:pPr>
      <w:r w:rsidRPr="00913267">
        <w:rPr>
          <w:lang w:val="en-GB"/>
        </w:rPr>
        <w:t xml:space="preserve">The </w:t>
      </w:r>
      <w:r w:rsidR="00957E38" w:rsidRPr="00913267">
        <w:rPr>
          <w:lang w:val="en-GB"/>
        </w:rPr>
        <w:t>challenge has identified 18 fundamental commitments. These commitments are specifically about improving public awareness and understanding the factors that increase the risk of developing dementia and how individuals can reduce their risk through healthy lifestyles. This plan will involve a healthy aging campaign and access to tools such as personali</w:t>
      </w:r>
      <w:r w:rsidR="0086560D" w:rsidRPr="00913267">
        <w:rPr>
          <w:lang w:val="en-GB"/>
        </w:rPr>
        <w:t>s</w:t>
      </w:r>
      <w:r w:rsidR="00957E38" w:rsidRPr="00913267">
        <w:rPr>
          <w:lang w:val="en-GB"/>
        </w:rPr>
        <w:t>ed risk assessment calculator as part of the NHS Health Check.</w:t>
      </w:r>
    </w:p>
    <w:p w:rsidR="00957E38" w:rsidRPr="00913267" w:rsidRDefault="00957E38" w:rsidP="00117BFD">
      <w:pPr>
        <w:pStyle w:val="BodyText"/>
        <w:spacing w:line="276" w:lineRule="auto"/>
        <w:jc w:val="both"/>
        <w:rPr>
          <w:lang w:val="en-GB"/>
        </w:rPr>
      </w:pPr>
    </w:p>
    <w:p w:rsidR="00957E38" w:rsidRPr="00913267" w:rsidRDefault="00957E38" w:rsidP="00F75991">
      <w:pPr>
        <w:pStyle w:val="BodyText"/>
        <w:spacing w:line="276" w:lineRule="auto"/>
        <w:jc w:val="both"/>
        <w:rPr>
          <w:lang w:val="en-GB"/>
        </w:rPr>
      </w:pPr>
      <w:r w:rsidRPr="00913267">
        <w:rPr>
          <w:lang w:val="en-GB"/>
        </w:rPr>
        <w:t xml:space="preserve">There </w:t>
      </w:r>
      <w:r w:rsidR="0086560D" w:rsidRPr="00913267">
        <w:rPr>
          <w:lang w:val="en-GB"/>
        </w:rPr>
        <w:t>i</w:t>
      </w:r>
      <w:r w:rsidRPr="00913267">
        <w:rPr>
          <w:lang w:val="en-GB"/>
        </w:rPr>
        <w:t xml:space="preserve">s emphasis on risk reduction. This will be delivered as a pilot scheme in partnership with voluntary sector organisations using the existing NHS Check to provide training around the risks of developing dementia and the steps they could take to reduce those risks. </w:t>
      </w:r>
    </w:p>
    <w:p w:rsidR="0086560D" w:rsidRPr="00913267" w:rsidRDefault="0086560D" w:rsidP="00F75991">
      <w:pPr>
        <w:pStyle w:val="BodyText"/>
        <w:spacing w:line="276" w:lineRule="auto"/>
        <w:jc w:val="both"/>
        <w:rPr>
          <w:lang w:val="en-GB"/>
        </w:rPr>
      </w:pPr>
    </w:p>
    <w:p w:rsidR="00957E38" w:rsidRPr="00913267" w:rsidRDefault="00957E38" w:rsidP="00F75991">
      <w:pPr>
        <w:pStyle w:val="BodyText"/>
        <w:spacing w:line="276" w:lineRule="auto"/>
        <w:jc w:val="both"/>
        <w:rPr>
          <w:lang w:val="en-GB"/>
        </w:rPr>
      </w:pPr>
      <w:r w:rsidRPr="00913267">
        <w:rPr>
          <w:lang w:val="en-GB"/>
        </w:rPr>
        <w:t>Industry sectors are encourage to develop Dementia Friendly Charters and work with business leaders to make individual commitments and also become dementia friendly.</w:t>
      </w:r>
    </w:p>
    <w:p w:rsidR="0086560D" w:rsidRPr="00913267" w:rsidRDefault="0086560D" w:rsidP="00F75991">
      <w:pPr>
        <w:pStyle w:val="BodyText"/>
        <w:spacing w:line="276" w:lineRule="auto"/>
        <w:jc w:val="both"/>
        <w:rPr>
          <w:lang w:val="en-GB"/>
        </w:rPr>
      </w:pPr>
    </w:p>
    <w:p w:rsidR="00F75991" w:rsidRPr="00913267" w:rsidRDefault="006D47D4" w:rsidP="00F75991">
      <w:pPr>
        <w:adjustRightInd w:val="0"/>
        <w:jc w:val="both"/>
        <w:rPr>
          <w:color w:val="000000"/>
          <w:sz w:val="24"/>
          <w:szCs w:val="24"/>
          <w:lang w:val="en-GB" w:eastAsia="en-GB"/>
        </w:rPr>
      </w:pPr>
      <w:r w:rsidRPr="00913267">
        <w:rPr>
          <w:color w:val="000000"/>
          <w:sz w:val="24"/>
          <w:szCs w:val="24"/>
          <w:lang w:val="en-GB" w:eastAsia="en-GB"/>
        </w:rPr>
        <w:t xml:space="preserve">Harrow Local Authority </w:t>
      </w:r>
      <w:r w:rsidR="00F75991" w:rsidRPr="00913267">
        <w:rPr>
          <w:color w:val="000000"/>
          <w:sz w:val="24"/>
          <w:szCs w:val="24"/>
          <w:lang w:val="en-GB" w:eastAsia="en-GB"/>
        </w:rPr>
        <w:t xml:space="preserve">undertook a </w:t>
      </w:r>
      <w:r w:rsidR="00F75991" w:rsidRPr="00913267">
        <w:rPr>
          <w:sz w:val="24"/>
          <w:szCs w:val="24"/>
          <w:u w:val="single"/>
          <w:lang w:val="en-GB"/>
        </w:rPr>
        <w:t>Dementia Friendly Housing</w:t>
      </w:r>
      <w:r w:rsidR="00F75991" w:rsidRPr="00913267">
        <w:rPr>
          <w:sz w:val="24"/>
          <w:szCs w:val="24"/>
          <w:lang w:val="en-GB"/>
        </w:rPr>
        <w:t xml:space="preserve"> </w:t>
      </w:r>
      <w:r w:rsidR="00F75991" w:rsidRPr="00913267">
        <w:rPr>
          <w:color w:val="000000"/>
          <w:sz w:val="24"/>
          <w:szCs w:val="24"/>
          <w:lang w:val="en-GB" w:eastAsia="en-GB"/>
        </w:rPr>
        <w:t>review to:</w:t>
      </w:r>
    </w:p>
    <w:p w:rsidR="00F75991" w:rsidRPr="00913267" w:rsidRDefault="00F75991" w:rsidP="00F75991">
      <w:pPr>
        <w:adjustRightInd w:val="0"/>
        <w:jc w:val="both"/>
        <w:rPr>
          <w:color w:val="000000"/>
          <w:sz w:val="24"/>
          <w:szCs w:val="24"/>
          <w:lang w:val="en-GB" w:eastAsia="en-GB"/>
        </w:rPr>
      </w:pPr>
    </w:p>
    <w:p w:rsidR="006D47D4" w:rsidRPr="00913267" w:rsidRDefault="006D47D4" w:rsidP="00F75991">
      <w:pPr>
        <w:widowControl/>
        <w:numPr>
          <w:ilvl w:val="0"/>
          <w:numId w:val="40"/>
        </w:numPr>
        <w:autoSpaceDE/>
        <w:autoSpaceDN/>
        <w:ind w:left="714" w:hanging="357"/>
        <w:jc w:val="both"/>
        <w:rPr>
          <w:sz w:val="24"/>
          <w:szCs w:val="24"/>
          <w:lang w:val="en-GB"/>
        </w:rPr>
      </w:pPr>
      <w:r w:rsidRPr="00913267">
        <w:rPr>
          <w:sz w:val="24"/>
          <w:szCs w:val="24"/>
          <w:lang w:val="en-GB"/>
        </w:rPr>
        <w:t>develop a greater understanding of what constitutes ‘dementia friendly’ housing;</w:t>
      </w:r>
    </w:p>
    <w:p w:rsidR="006D47D4" w:rsidRPr="00913267" w:rsidRDefault="006D47D4" w:rsidP="00F75991">
      <w:pPr>
        <w:widowControl/>
        <w:numPr>
          <w:ilvl w:val="0"/>
          <w:numId w:val="40"/>
        </w:numPr>
        <w:autoSpaceDE/>
        <w:autoSpaceDN/>
        <w:jc w:val="both"/>
        <w:rPr>
          <w:sz w:val="24"/>
          <w:szCs w:val="24"/>
          <w:lang w:val="en-GB"/>
        </w:rPr>
      </w:pPr>
      <w:r w:rsidRPr="00913267">
        <w:rPr>
          <w:sz w:val="24"/>
          <w:szCs w:val="24"/>
          <w:lang w:val="en-GB"/>
        </w:rPr>
        <w:t>develop a greater understanding of and clarity around whether current housing provision within the borough meets the needs of residents aged 65  and over, diagnosed with dementia, or those that could develop the condition in the future;</w:t>
      </w:r>
    </w:p>
    <w:p w:rsidR="006D47D4" w:rsidRPr="00913267" w:rsidRDefault="006D47D4" w:rsidP="00F75991">
      <w:pPr>
        <w:widowControl/>
        <w:numPr>
          <w:ilvl w:val="0"/>
          <w:numId w:val="40"/>
        </w:numPr>
        <w:autoSpaceDE/>
        <w:autoSpaceDN/>
        <w:jc w:val="both"/>
        <w:rPr>
          <w:sz w:val="24"/>
          <w:szCs w:val="24"/>
          <w:lang w:val="en-GB"/>
        </w:rPr>
      </w:pPr>
      <w:proofErr w:type="gramStart"/>
      <w:r w:rsidRPr="00913267">
        <w:rPr>
          <w:sz w:val="24"/>
          <w:szCs w:val="24"/>
          <w:lang w:val="en-GB"/>
        </w:rPr>
        <w:t>identify</w:t>
      </w:r>
      <w:proofErr w:type="gramEnd"/>
      <w:r w:rsidRPr="00913267">
        <w:rPr>
          <w:sz w:val="24"/>
          <w:szCs w:val="24"/>
          <w:lang w:val="en-GB"/>
        </w:rPr>
        <w:t xml:space="preserve"> measures that the Council could implement to help meet future housing needs and in doing so, identify what overall steps Harrow Council can take towards becoming more dementia-friendly.</w:t>
      </w:r>
    </w:p>
    <w:p w:rsidR="006D47D4" w:rsidRPr="00913267" w:rsidRDefault="006D47D4" w:rsidP="00F75991">
      <w:pPr>
        <w:pStyle w:val="BodyText"/>
        <w:spacing w:line="276" w:lineRule="auto"/>
        <w:jc w:val="both"/>
        <w:rPr>
          <w:lang w:val="en-GB"/>
        </w:rPr>
      </w:pPr>
    </w:p>
    <w:p w:rsidR="00B71A4D" w:rsidRPr="007C4EA5" w:rsidRDefault="00957E38" w:rsidP="007C4EA5">
      <w:pPr>
        <w:pStyle w:val="BodyText"/>
        <w:spacing w:line="276" w:lineRule="auto"/>
        <w:jc w:val="both"/>
        <w:rPr>
          <w:rStyle w:val="Hyperlink"/>
          <w:sz w:val="20"/>
          <w:lang w:val="en-GB"/>
        </w:rPr>
      </w:pPr>
      <w:r w:rsidRPr="00913267">
        <w:rPr>
          <w:lang w:val="en-GB"/>
        </w:rPr>
        <w:t>Dementia Research will become a career opportunity of choice with the UK being the best place for Dementia Research. An international dementia institute is to be established in England and increased investment in dement</w:t>
      </w:r>
      <w:r w:rsidR="007C4EA5">
        <w:rPr>
          <w:lang w:val="en-GB"/>
        </w:rPr>
        <w:t xml:space="preserve">ia research will be encouraged. </w:t>
      </w:r>
      <w:r w:rsidR="00B71A4D" w:rsidRPr="007C4EA5">
        <w:rPr>
          <w:color w:val="FF0000"/>
          <w:sz w:val="20"/>
          <w:lang w:val="en-GB"/>
        </w:rPr>
        <w:fldChar w:fldCharType="begin"/>
      </w:r>
      <w:r w:rsidR="00B71A4D" w:rsidRPr="007C4EA5">
        <w:rPr>
          <w:color w:val="FF0000"/>
          <w:sz w:val="20"/>
          <w:lang w:val="en-GB"/>
        </w:rPr>
        <w:instrText xml:space="preserve"> HYPERLINK "https://www.gov.uk/government/publications/prime-ministers-challenge-on-dementia-2020/prime-ministers-challenge-on-dementia-2020" </w:instrText>
      </w:r>
      <w:r w:rsidR="00B71A4D" w:rsidRPr="007C4EA5">
        <w:rPr>
          <w:color w:val="FF0000"/>
          <w:sz w:val="20"/>
          <w:lang w:val="en-GB"/>
        </w:rPr>
        <w:fldChar w:fldCharType="separate"/>
      </w:r>
      <w:r w:rsidR="00B71A4D" w:rsidRPr="007C4EA5">
        <w:rPr>
          <w:rStyle w:val="Hyperlink"/>
          <w:sz w:val="20"/>
          <w:lang w:val="en-GB"/>
        </w:rPr>
        <w:t>https://www.gov.uk/government/publications/prime-ministers-challenge-on-dementia-2020/prime-ministers-challenge-on-dementia-2020</w:t>
      </w:r>
    </w:p>
    <w:p w:rsidR="00957E38" w:rsidRPr="00913267" w:rsidRDefault="00B71A4D" w:rsidP="00117BFD">
      <w:pPr>
        <w:pStyle w:val="BodyText"/>
        <w:spacing w:line="276" w:lineRule="auto"/>
        <w:rPr>
          <w:lang w:val="en-GB"/>
        </w:rPr>
      </w:pPr>
      <w:r w:rsidRPr="007C4EA5">
        <w:rPr>
          <w:color w:val="FF0000"/>
          <w:sz w:val="20"/>
          <w:lang w:val="en-GB"/>
        </w:rPr>
        <w:fldChar w:fldCharType="end"/>
      </w:r>
    </w:p>
    <w:p w:rsidR="00025F50" w:rsidRPr="00913267" w:rsidRDefault="00025F50" w:rsidP="00E77955">
      <w:pPr>
        <w:pStyle w:val="BodyText"/>
        <w:spacing w:line="276" w:lineRule="auto"/>
        <w:rPr>
          <w:sz w:val="20"/>
          <w:lang w:val="en-GB"/>
        </w:rPr>
      </w:pPr>
    </w:p>
    <w:p w:rsidR="00E77955" w:rsidRPr="00913267" w:rsidRDefault="00E77955" w:rsidP="00117BFD">
      <w:pPr>
        <w:pStyle w:val="BodyText"/>
        <w:spacing w:line="276" w:lineRule="auto"/>
        <w:jc w:val="both"/>
        <w:rPr>
          <w:b/>
          <w:lang w:val="en-GB"/>
        </w:rPr>
      </w:pPr>
      <w:bookmarkStart w:id="4" w:name="_TOC_250007"/>
      <w:r w:rsidRPr="00913267">
        <w:rPr>
          <w:b/>
          <w:lang w:val="en-GB"/>
        </w:rPr>
        <w:t xml:space="preserve">LOCAL CONTEXT </w:t>
      </w:r>
    </w:p>
    <w:p w:rsidR="00E77955" w:rsidRPr="00913267" w:rsidRDefault="00E77955" w:rsidP="00117BFD">
      <w:pPr>
        <w:pStyle w:val="BodyText"/>
        <w:spacing w:line="276" w:lineRule="auto"/>
        <w:jc w:val="both"/>
        <w:rPr>
          <w:b/>
          <w:lang w:val="en-GB"/>
        </w:rPr>
      </w:pPr>
    </w:p>
    <w:bookmarkEnd w:id="4"/>
    <w:p w:rsidR="00F445A5" w:rsidRPr="00913267" w:rsidRDefault="003C3836" w:rsidP="00117BFD">
      <w:pPr>
        <w:pStyle w:val="BodyText"/>
        <w:spacing w:line="276" w:lineRule="auto"/>
        <w:jc w:val="both"/>
        <w:rPr>
          <w:u w:val="single"/>
          <w:lang w:val="en-GB"/>
        </w:rPr>
      </w:pPr>
      <w:r w:rsidRPr="00913267">
        <w:rPr>
          <w:u w:val="single"/>
          <w:lang w:val="en-GB"/>
        </w:rPr>
        <w:t xml:space="preserve">Statutory </w:t>
      </w:r>
      <w:r w:rsidR="00E77955" w:rsidRPr="00913267">
        <w:rPr>
          <w:u w:val="single"/>
          <w:lang w:val="en-GB"/>
        </w:rPr>
        <w:t xml:space="preserve">Dementia </w:t>
      </w:r>
      <w:r w:rsidRPr="00913267">
        <w:rPr>
          <w:u w:val="single"/>
          <w:lang w:val="en-GB"/>
        </w:rPr>
        <w:t>Service in Harrow</w:t>
      </w:r>
    </w:p>
    <w:p w:rsidR="00957E38" w:rsidRPr="00913267" w:rsidRDefault="00957E38" w:rsidP="00117BFD">
      <w:pPr>
        <w:pStyle w:val="BodyText"/>
        <w:spacing w:line="276" w:lineRule="auto"/>
        <w:jc w:val="both"/>
        <w:rPr>
          <w:lang w:val="en-GB"/>
        </w:rPr>
      </w:pPr>
    </w:p>
    <w:p w:rsidR="00957E38" w:rsidRPr="00913267" w:rsidRDefault="00957E38" w:rsidP="00117BFD">
      <w:pPr>
        <w:pStyle w:val="BodyText"/>
        <w:spacing w:line="276" w:lineRule="auto"/>
        <w:jc w:val="both"/>
        <w:rPr>
          <w:lang w:val="en-GB"/>
        </w:rPr>
      </w:pPr>
      <w:r w:rsidRPr="00913267">
        <w:rPr>
          <w:lang w:val="en-GB"/>
        </w:rPr>
        <w:t>Harrow council has a statutory duty to carry out a community care assessment, which will assess the person's needs and identify which services could be arranged to help meet these needs.</w:t>
      </w:r>
    </w:p>
    <w:p w:rsidR="00E77955" w:rsidRPr="00913267" w:rsidRDefault="00E77955" w:rsidP="00117BFD">
      <w:pPr>
        <w:pStyle w:val="BodyText"/>
        <w:spacing w:line="276" w:lineRule="auto"/>
        <w:jc w:val="both"/>
        <w:rPr>
          <w:lang w:val="en-GB"/>
        </w:rPr>
      </w:pPr>
    </w:p>
    <w:p w:rsidR="00957E38" w:rsidRPr="00913267" w:rsidRDefault="003C3836" w:rsidP="00117BFD">
      <w:pPr>
        <w:pStyle w:val="BodyText"/>
        <w:spacing w:line="276" w:lineRule="auto"/>
        <w:jc w:val="both"/>
        <w:rPr>
          <w:lang w:val="en-GB"/>
        </w:rPr>
      </w:pPr>
      <w:r w:rsidRPr="00913267">
        <w:rPr>
          <w:lang w:val="en-GB"/>
        </w:rPr>
        <w:t xml:space="preserve">The Council can also provide a </w:t>
      </w:r>
      <w:r w:rsidR="00957E38" w:rsidRPr="00913267">
        <w:rPr>
          <w:lang w:val="en-GB"/>
        </w:rPr>
        <w:t>carer</w:t>
      </w:r>
      <w:r w:rsidR="00E77955" w:rsidRPr="00913267">
        <w:rPr>
          <w:lang w:val="en-GB"/>
        </w:rPr>
        <w:t>’</w:t>
      </w:r>
      <w:r w:rsidR="00957E38" w:rsidRPr="00913267">
        <w:rPr>
          <w:lang w:val="en-GB"/>
        </w:rPr>
        <w:t>s needs assessment which can help carers to access services to support them with their caring role.</w:t>
      </w:r>
    </w:p>
    <w:p w:rsidR="00E77955" w:rsidRPr="00913267" w:rsidRDefault="00E77955" w:rsidP="00117BFD">
      <w:pPr>
        <w:pStyle w:val="BodyText"/>
        <w:spacing w:line="276" w:lineRule="auto"/>
        <w:jc w:val="both"/>
        <w:rPr>
          <w:lang w:val="en-GB"/>
        </w:rPr>
      </w:pPr>
    </w:p>
    <w:p w:rsidR="00957E38" w:rsidRPr="00913267" w:rsidRDefault="009B65EA" w:rsidP="00117BFD">
      <w:pPr>
        <w:pStyle w:val="BodyText"/>
        <w:spacing w:line="276" w:lineRule="auto"/>
        <w:jc w:val="both"/>
        <w:rPr>
          <w:lang w:val="en-GB"/>
        </w:rPr>
      </w:pPr>
      <w:r w:rsidRPr="00913267">
        <w:rPr>
          <w:lang w:val="en-GB"/>
        </w:rPr>
        <w:t>The council has equipped various</w:t>
      </w:r>
      <w:r w:rsidR="00E77955" w:rsidRPr="00913267">
        <w:rPr>
          <w:lang w:val="en-GB"/>
        </w:rPr>
        <w:t xml:space="preserve"> voluntary s</w:t>
      </w:r>
      <w:r w:rsidR="00957E38" w:rsidRPr="00913267">
        <w:rPr>
          <w:lang w:val="en-GB"/>
        </w:rPr>
        <w:t>ector workers and volunteers in terms of supporting people with dementia</w:t>
      </w:r>
      <w:r w:rsidRPr="00913267">
        <w:rPr>
          <w:lang w:val="en-GB"/>
        </w:rPr>
        <w:t xml:space="preserve"> through training programmes.</w:t>
      </w:r>
      <w:r w:rsidR="00957E38" w:rsidRPr="00913267">
        <w:rPr>
          <w:lang w:val="en-GB"/>
        </w:rPr>
        <w:t xml:space="preserve"> These courses are person </w:t>
      </w:r>
      <w:r w:rsidR="00E77955" w:rsidRPr="00913267">
        <w:rPr>
          <w:lang w:val="en-GB"/>
        </w:rPr>
        <w:t>centred</w:t>
      </w:r>
      <w:r w:rsidR="00957E38" w:rsidRPr="00913267">
        <w:rPr>
          <w:lang w:val="en-GB"/>
        </w:rPr>
        <w:t xml:space="preserve"> and also a practical way of sharing knowledge and raising awareness of dementia amongst carers and within the voluntary sector.</w:t>
      </w:r>
    </w:p>
    <w:p w:rsidR="009B65EA" w:rsidRPr="00913267" w:rsidRDefault="009B65EA" w:rsidP="00117BFD">
      <w:pPr>
        <w:pStyle w:val="BodyText"/>
        <w:spacing w:line="276" w:lineRule="auto"/>
        <w:jc w:val="both"/>
        <w:rPr>
          <w:b/>
          <w:lang w:val="en-GB"/>
        </w:rPr>
      </w:pPr>
    </w:p>
    <w:p w:rsidR="009B65EA" w:rsidRPr="00913267" w:rsidRDefault="009B65EA" w:rsidP="00117BFD">
      <w:pPr>
        <w:pStyle w:val="BodyText"/>
        <w:spacing w:line="276" w:lineRule="auto"/>
        <w:jc w:val="both"/>
        <w:rPr>
          <w:u w:val="single"/>
          <w:lang w:val="en-GB"/>
        </w:rPr>
      </w:pPr>
      <w:r w:rsidRPr="00913267">
        <w:rPr>
          <w:u w:val="single"/>
          <w:lang w:val="en-GB"/>
        </w:rPr>
        <w:t>Harrow Memory Services</w:t>
      </w:r>
    </w:p>
    <w:p w:rsidR="009B65EA" w:rsidRPr="00913267" w:rsidRDefault="009B65EA" w:rsidP="00117BFD">
      <w:pPr>
        <w:pStyle w:val="BodyText"/>
        <w:spacing w:line="276" w:lineRule="auto"/>
        <w:jc w:val="both"/>
        <w:rPr>
          <w:b/>
          <w:lang w:val="en-GB"/>
        </w:rPr>
      </w:pPr>
    </w:p>
    <w:p w:rsidR="009B65EA" w:rsidRPr="00913267" w:rsidRDefault="00E77955" w:rsidP="00117BFD">
      <w:pPr>
        <w:pStyle w:val="BodyText"/>
        <w:spacing w:line="276" w:lineRule="auto"/>
        <w:jc w:val="both"/>
        <w:rPr>
          <w:lang w:val="en-GB"/>
        </w:rPr>
      </w:pPr>
      <w:r w:rsidRPr="00913267">
        <w:rPr>
          <w:lang w:val="en-GB"/>
        </w:rPr>
        <w:t>The Memory Assessment Service (MAS) as part of Central and North West London NHS Foundation Trust (CNWL)</w:t>
      </w:r>
      <w:r w:rsidR="009B65EA" w:rsidRPr="00913267">
        <w:rPr>
          <w:lang w:val="en-GB"/>
        </w:rPr>
        <w:t xml:space="preserve"> </w:t>
      </w:r>
      <w:proofErr w:type="gramStart"/>
      <w:r w:rsidR="009B65EA" w:rsidRPr="00913267">
        <w:rPr>
          <w:lang w:val="en-GB"/>
        </w:rPr>
        <w:t>provides</w:t>
      </w:r>
      <w:proofErr w:type="gramEnd"/>
      <w:r w:rsidR="009B65EA" w:rsidRPr="00913267">
        <w:rPr>
          <w:lang w:val="en-GB"/>
        </w:rPr>
        <w:t xml:space="preserve"> a comprehensive assessment of an individual’s memory, ensuring that if dementia is an issue a diagnosis is given as soon as possible. Once a service user has been diagnosed, the services can help to support the individual in coming to terms with their diagnosis</w:t>
      </w:r>
      <w:r w:rsidRPr="00913267">
        <w:rPr>
          <w:lang w:val="en-GB"/>
        </w:rPr>
        <w:t xml:space="preserve"> and sign-post to agencies for post diagnostic support</w:t>
      </w:r>
      <w:r w:rsidR="009B65EA" w:rsidRPr="00913267">
        <w:rPr>
          <w:lang w:val="en-GB"/>
        </w:rPr>
        <w:t>.  They provide useful strategies and treatments to help people minimise their memory difficulties. Their primary objective is to help people live independently and safely.</w:t>
      </w:r>
    </w:p>
    <w:p w:rsidR="003C3836" w:rsidRPr="00913267" w:rsidRDefault="003C3836" w:rsidP="00117BFD">
      <w:pPr>
        <w:pStyle w:val="BodyText"/>
        <w:spacing w:line="276" w:lineRule="auto"/>
        <w:jc w:val="both"/>
        <w:rPr>
          <w:lang w:val="en-GB"/>
        </w:rPr>
      </w:pPr>
    </w:p>
    <w:p w:rsidR="003C3836" w:rsidRPr="00913267" w:rsidRDefault="003C3836" w:rsidP="00117BFD">
      <w:pPr>
        <w:pStyle w:val="BodyText"/>
        <w:spacing w:line="276" w:lineRule="auto"/>
        <w:jc w:val="both"/>
        <w:rPr>
          <w:u w:val="single"/>
          <w:lang w:val="en-GB"/>
        </w:rPr>
      </w:pPr>
      <w:r w:rsidRPr="00913267">
        <w:rPr>
          <w:u w:val="single"/>
          <w:lang w:val="en-GB"/>
        </w:rPr>
        <w:t>The Harrow Older People Community Mental Health Team</w:t>
      </w:r>
    </w:p>
    <w:p w:rsidR="003C3836" w:rsidRPr="00913267" w:rsidRDefault="003C3836" w:rsidP="00117BFD">
      <w:pPr>
        <w:pStyle w:val="BodyText"/>
        <w:spacing w:line="276" w:lineRule="auto"/>
        <w:jc w:val="both"/>
        <w:rPr>
          <w:b/>
          <w:lang w:val="en-GB"/>
        </w:rPr>
      </w:pPr>
    </w:p>
    <w:p w:rsidR="003C3836" w:rsidRPr="00913267" w:rsidRDefault="003C3836" w:rsidP="00117BFD">
      <w:pPr>
        <w:pStyle w:val="BodyText"/>
        <w:spacing w:line="276" w:lineRule="auto"/>
        <w:jc w:val="both"/>
        <w:rPr>
          <w:lang w:val="en-GB"/>
        </w:rPr>
      </w:pPr>
      <w:r w:rsidRPr="00913267">
        <w:rPr>
          <w:lang w:val="en-GB"/>
        </w:rPr>
        <w:t>The team has three key functions:</w:t>
      </w:r>
    </w:p>
    <w:p w:rsidR="007836B9" w:rsidRPr="00913267" w:rsidRDefault="007836B9" w:rsidP="00117BFD">
      <w:pPr>
        <w:pStyle w:val="BodyText"/>
        <w:spacing w:line="276" w:lineRule="auto"/>
        <w:jc w:val="both"/>
        <w:rPr>
          <w:lang w:val="en-GB"/>
        </w:rPr>
      </w:pPr>
    </w:p>
    <w:p w:rsidR="003C3836" w:rsidRPr="00913267" w:rsidRDefault="003C3836" w:rsidP="00117BFD">
      <w:pPr>
        <w:pStyle w:val="BodyText"/>
        <w:numPr>
          <w:ilvl w:val="0"/>
          <w:numId w:val="15"/>
        </w:numPr>
        <w:spacing w:line="276" w:lineRule="auto"/>
        <w:jc w:val="both"/>
        <w:rPr>
          <w:lang w:val="en-GB"/>
        </w:rPr>
      </w:pPr>
      <w:r w:rsidRPr="00913267">
        <w:rPr>
          <w:lang w:val="en-GB"/>
        </w:rPr>
        <w:t>To give advice on the management of mental health problems by other professionals – in particular,</w:t>
      </w:r>
    </w:p>
    <w:p w:rsidR="003C3836" w:rsidRPr="00913267" w:rsidRDefault="003C3836" w:rsidP="00117BFD">
      <w:pPr>
        <w:pStyle w:val="BodyText"/>
        <w:numPr>
          <w:ilvl w:val="0"/>
          <w:numId w:val="26"/>
        </w:numPr>
        <w:spacing w:line="276" w:lineRule="auto"/>
        <w:jc w:val="both"/>
        <w:rPr>
          <w:lang w:val="en-GB"/>
        </w:rPr>
      </w:pPr>
      <w:proofErr w:type="gramStart"/>
      <w:r w:rsidRPr="00913267">
        <w:rPr>
          <w:lang w:val="en-GB"/>
        </w:rPr>
        <w:t>providing</w:t>
      </w:r>
      <w:proofErr w:type="gramEnd"/>
      <w:r w:rsidRPr="00913267">
        <w:rPr>
          <w:lang w:val="en-GB"/>
        </w:rPr>
        <w:t xml:space="preserve"> advice to primary care, such as GP surgeries, and making sure appropriate referrals are made.</w:t>
      </w:r>
    </w:p>
    <w:p w:rsidR="003C3836" w:rsidRPr="00913267" w:rsidRDefault="003C3836" w:rsidP="00117BFD">
      <w:pPr>
        <w:pStyle w:val="BodyText"/>
        <w:numPr>
          <w:ilvl w:val="0"/>
          <w:numId w:val="26"/>
        </w:numPr>
        <w:spacing w:line="276" w:lineRule="auto"/>
        <w:jc w:val="both"/>
        <w:rPr>
          <w:lang w:val="en-GB"/>
        </w:rPr>
      </w:pPr>
      <w:r w:rsidRPr="00913267">
        <w:rPr>
          <w:lang w:val="en-GB"/>
        </w:rPr>
        <w:t>Providing treatment and care for those with short-term mental health issues who can benefit from specialist</w:t>
      </w:r>
    </w:p>
    <w:p w:rsidR="003C3836" w:rsidRPr="00913267" w:rsidRDefault="007836B9" w:rsidP="00117BFD">
      <w:pPr>
        <w:pStyle w:val="BodyText"/>
        <w:numPr>
          <w:ilvl w:val="0"/>
          <w:numId w:val="26"/>
        </w:numPr>
        <w:spacing w:line="276" w:lineRule="auto"/>
        <w:jc w:val="both"/>
        <w:rPr>
          <w:lang w:val="en-GB"/>
        </w:rPr>
      </w:pPr>
      <w:r w:rsidRPr="00913267">
        <w:rPr>
          <w:lang w:val="en-GB"/>
        </w:rPr>
        <w:t>I</w:t>
      </w:r>
      <w:r w:rsidR="003C3836" w:rsidRPr="00913267">
        <w:rPr>
          <w:lang w:val="en-GB"/>
        </w:rPr>
        <w:t>nterventions.</w:t>
      </w:r>
    </w:p>
    <w:p w:rsidR="003C3836" w:rsidRPr="00913267" w:rsidRDefault="003C3836" w:rsidP="00117BFD">
      <w:pPr>
        <w:pStyle w:val="BodyText"/>
        <w:numPr>
          <w:ilvl w:val="0"/>
          <w:numId w:val="26"/>
        </w:numPr>
        <w:spacing w:line="276" w:lineRule="auto"/>
        <w:jc w:val="both"/>
        <w:rPr>
          <w:lang w:val="en-GB"/>
        </w:rPr>
      </w:pPr>
      <w:r w:rsidRPr="00913267">
        <w:rPr>
          <w:lang w:val="en-GB"/>
        </w:rPr>
        <w:t>Providing treatment and care for those with more complex needs.</w:t>
      </w:r>
    </w:p>
    <w:p w:rsidR="003C3836" w:rsidRPr="00913267" w:rsidRDefault="003C3836" w:rsidP="00117BFD">
      <w:pPr>
        <w:pStyle w:val="BodyText"/>
        <w:spacing w:line="276" w:lineRule="auto"/>
        <w:ind w:left="720"/>
        <w:jc w:val="both"/>
        <w:rPr>
          <w:lang w:val="en-GB"/>
        </w:rPr>
      </w:pPr>
    </w:p>
    <w:p w:rsidR="003C3836" w:rsidRPr="00913267" w:rsidRDefault="003C3836" w:rsidP="00117BFD">
      <w:pPr>
        <w:pStyle w:val="BodyText"/>
        <w:spacing w:line="276" w:lineRule="auto"/>
        <w:ind w:left="720"/>
        <w:jc w:val="both"/>
        <w:rPr>
          <w:lang w:val="en-GB"/>
        </w:rPr>
      </w:pPr>
    </w:p>
    <w:p w:rsidR="00F445A5" w:rsidRPr="00913267" w:rsidRDefault="0017216C" w:rsidP="00117BFD">
      <w:pPr>
        <w:pStyle w:val="BodyText"/>
        <w:spacing w:line="276" w:lineRule="auto"/>
        <w:rPr>
          <w:u w:val="single"/>
          <w:lang w:val="en-GB"/>
        </w:rPr>
      </w:pPr>
      <w:r w:rsidRPr="00913267">
        <w:rPr>
          <w:u w:val="single"/>
          <w:lang w:val="en-GB"/>
        </w:rPr>
        <w:t>Harrow’s elderly</w:t>
      </w:r>
      <w:r w:rsidRPr="00913267">
        <w:rPr>
          <w:spacing w:val="-6"/>
          <w:u w:val="single"/>
          <w:lang w:val="en-GB"/>
        </w:rPr>
        <w:t xml:space="preserve"> </w:t>
      </w:r>
      <w:r w:rsidRPr="00913267">
        <w:rPr>
          <w:u w:val="single"/>
          <w:lang w:val="en-GB"/>
        </w:rPr>
        <w:t>population</w:t>
      </w:r>
    </w:p>
    <w:p w:rsidR="00F445A5" w:rsidRPr="00913267" w:rsidRDefault="00F445A5" w:rsidP="00117BFD">
      <w:pPr>
        <w:pStyle w:val="BodyText"/>
        <w:spacing w:line="276" w:lineRule="auto"/>
        <w:rPr>
          <w:b/>
          <w:lang w:val="en-GB"/>
        </w:rPr>
      </w:pPr>
    </w:p>
    <w:p w:rsidR="00F445A5" w:rsidRPr="00913267" w:rsidRDefault="005911AA" w:rsidP="00117BFD">
      <w:pPr>
        <w:pStyle w:val="BodyText"/>
        <w:spacing w:line="276" w:lineRule="auto"/>
        <w:jc w:val="both"/>
        <w:rPr>
          <w:lang w:val="en-GB"/>
        </w:rPr>
      </w:pPr>
      <w:r w:rsidRPr="00913267">
        <w:rPr>
          <w:lang w:val="en-GB"/>
        </w:rPr>
        <w:t xml:space="preserve">There are 31,900 of older residents aged 65 and over. </w:t>
      </w:r>
      <w:r w:rsidR="00025F50" w:rsidRPr="00913267">
        <w:rPr>
          <w:lang w:val="en-GB"/>
        </w:rPr>
        <w:t xml:space="preserve">Harrow has one of the highest proportions of older residents aged 65 and over compared to other London boroughs at 15.2%. </w:t>
      </w:r>
      <w:r w:rsidR="0017216C" w:rsidRPr="00913267">
        <w:rPr>
          <w:lang w:val="en-GB"/>
        </w:rPr>
        <w:t>Old age is the most important risk factor</w:t>
      </w:r>
      <w:r w:rsidR="0017216C" w:rsidRPr="00913267">
        <w:rPr>
          <w:spacing w:val="-17"/>
          <w:lang w:val="en-GB"/>
        </w:rPr>
        <w:t xml:space="preserve"> </w:t>
      </w:r>
      <w:r w:rsidR="0017216C" w:rsidRPr="00913267">
        <w:rPr>
          <w:lang w:val="en-GB"/>
        </w:rPr>
        <w:t>for dementia and Harrow has the highest percentage of elderly residents of the 8 boroughs in the North West London sector.</w:t>
      </w:r>
      <w:r w:rsidR="00025F50" w:rsidRPr="00913267">
        <w:rPr>
          <w:lang w:val="en-GB"/>
        </w:rPr>
        <w:t xml:space="preserve"> This is below the national </w:t>
      </w:r>
      <w:r w:rsidR="007836B9" w:rsidRPr="00913267">
        <w:rPr>
          <w:lang w:val="en-GB"/>
        </w:rPr>
        <w:t>average</w:t>
      </w:r>
      <w:r w:rsidR="00025F50" w:rsidRPr="00913267">
        <w:rPr>
          <w:lang w:val="en-GB"/>
        </w:rPr>
        <w:t xml:space="preserve"> of 16.3%.  Harrow is ranked 7</w:t>
      </w:r>
      <w:r w:rsidR="00025F50" w:rsidRPr="00913267">
        <w:rPr>
          <w:vertAlign w:val="superscript"/>
          <w:lang w:val="en-GB"/>
        </w:rPr>
        <w:t>th</w:t>
      </w:r>
      <w:r w:rsidR="00025F50" w:rsidRPr="00913267">
        <w:rPr>
          <w:lang w:val="en-GB"/>
        </w:rPr>
        <w:t xml:space="preserve"> in London for the proportion of residents aged 65 and over. </w:t>
      </w:r>
      <w:r w:rsidR="007836B9" w:rsidRPr="00913267">
        <w:rPr>
          <w:lang w:val="en-GB"/>
        </w:rPr>
        <w:t>(</w:t>
      </w:r>
      <w:r w:rsidR="00025F50" w:rsidRPr="00913267">
        <w:rPr>
          <w:lang w:val="en-GB"/>
        </w:rPr>
        <w:t xml:space="preserve">ONS LSOA Mid-Year Estimates </w:t>
      </w:r>
      <w:r w:rsidR="00025F50" w:rsidRPr="00913267">
        <w:rPr>
          <w:b/>
          <w:lang w:val="en-GB"/>
        </w:rPr>
        <w:t>2016</w:t>
      </w:r>
      <w:r w:rsidR="00025F50" w:rsidRPr="00913267">
        <w:rPr>
          <w:lang w:val="en-GB"/>
        </w:rPr>
        <w:t>)</w:t>
      </w:r>
    </w:p>
    <w:p w:rsidR="00F445A5" w:rsidRDefault="00F445A5" w:rsidP="00117BFD">
      <w:pPr>
        <w:pStyle w:val="BodyText"/>
        <w:spacing w:line="276" w:lineRule="auto"/>
        <w:jc w:val="both"/>
        <w:rPr>
          <w:lang w:val="en-GB"/>
        </w:rPr>
      </w:pPr>
    </w:p>
    <w:p w:rsidR="007C4EA5" w:rsidRPr="00913267" w:rsidRDefault="007C4EA5" w:rsidP="00117BFD">
      <w:pPr>
        <w:pStyle w:val="BodyText"/>
        <w:spacing w:line="276" w:lineRule="auto"/>
        <w:jc w:val="both"/>
        <w:rPr>
          <w:lang w:val="en-GB"/>
        </w:rPr>
      </w:pPr>
    </w:p>
    <w:p w:rsidR="00F445A5" w:rsidRPr="00913267" w:rsidRDefault="0017216C" w:rsidP="00117BFD">
      <w:pPr>
        <w:pStyle w:val="BodyText"/>
        <w:spacing w:line="276" w:lineRule="auto"/>
        <w:jc w:val="both"/>
        <w:rPr>
          <w:u w:val="single"/>
          <w:lang w:val="en-GB"/>
        </w:rPr>
      </w:pPr>
      <w:proofErr w:type="gramStart"/>
      <w:r w:rsidRPr="00913267">
        <w:rPr>
          <w:u w:val="single"/>
          <w:lang w:val="en-GB"/>
        </w:rPr>
        <w:t>Percentage of population over the age of 65 – North West London</w:t>
      </w:r>
      <w:r w:rsidRPr="00913267">
        <w:rPr>
          <w:lang w:val="en-GB"/>
        </w:rPr>
        <w:t xml:space="preserve"> </w:t>
      </w:r>
      <w:r w:rsidRPr="00913267">
        <w:rPr>
          <w:u w:val="single"/>
          <w:lang w:val="en-GB"/>
        </w:rPr>
        <w:t>Boroughs.</w:t>
      </w:r>
      <w:proofErr w:type="gramEnd"/>
    </w:p>
    <w:p w:rsidR="00025F50" w:rsidRPr="00913267" w:rsidRDefault="00025F50" w:rsidP="00117BFD">
      <w:pPr>
        <w:pStyle w:val="BodyText"/>
        <w:spacing w:line="276" w:lineRule="auto"/>
        <w:ind w:left="219" w:right="1582"/>
        <w:jc w:val="both"/>
        <w:rPr>
          <w:lang w:val="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9"/>
        <w:gridCol w:w="5277"/>
      </w:tblGrid>
      <w:tr w:rsidR="00113AE7" w:rsidRPr="00913267" w:rsidTr="00AC5858">
        <w:trPr>
          <w:trHeight w:val="551"/>
        </w:trPr>
        <w:tc>
          <w:tcPr>
            <w:tcW w:w="3579" w:type="dxa"/>
            <w:shd w:val="clear" w:color="auto" w:fill="DBE5F1" w:themeFill="accent1" w:themeFillTint="33"/>
          </w:tcPr>
          <w:p w:rsidR="00F445A5" w:rsidRPr="00913267" w:rsidRDefault="0017216C" w:rsidP="00117BFD">
            <w:pPr>
              <w:pStyle w:val="TableParagraph"/>
              <w:spacing w:line="276" w:lineRule="auto"/>
              <w:jc w:val="both"/>
              <w:rPr>
                <w:b/>
                <w:sz w:val="24"/>
                <w:lang w:val="en-GB"/>
              </w:rPr>
            </w:pPr>
            <w:r w:rsidRPr="00913267">
              <w:rPr>
                <w:b/>
                <w:sz w:val="24"/>
                <w:lang w:val="en-GB"/>
              </w:rPr>
              <w:t>London Borough</w:t>
            </w:r>
          </w:p>
        </w:tc>
        <w:tc>
          <w:tcPr>
            <w:tcW w:w="5277" w:type="dxa"/>
            <w:shd w:val="clear" w:color="auto" w:fill="DBE5F1" w:themeFill="accent1" w:themeFillTint="33"/>
          </w:tcPr>
          <w:p w:rsidR="00F445A5" w:rsidRPr="00913267" w:rsidRDefault="0017216C" w:rsidP="00AC5858">
            <w:pPr>
              <w:pStyle w:val="TableParagraph"/>
              <w:spacing w:line="276" w:lineRule="auto"/>
              <w:jc w:val="both"/>
              <w:rPr>
                <w:b/>
                <w:sz w:val="24"/>
                <w:lang w:val="en-GB"/>
              </w:rPr>
            </w:pPr>
            <w:r w:rsidRPr="00913267">
              <w:rPr>
                <w:b/>
                <w:sz w:val="24"/>
                <w:lang w:val="en-GB"/>
              </w:rPr>
              <w:t>Percentage of total population over</w:t>
            </w:r>
            <w:r w:rsidR="00AC5858">
              <w:rPr>
                <w:b/>
                <w:sz w:val="24"/>
                <w:lang w:val="en-GB"/>
              </w:rPr>
              <w:t xml:space="preserve"> </w:t>
            </w:r>
            <w:r w:rsidRPr="00913267">
              <w:rPr>
                <w:b/>
                <w:sz w:val="24"/>
                <w:lang w:val="en-GB"/>
              </w:rPr>
              <w:t>65</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HARROW</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15.2</w:t>
            </w:r>
          </w:p>
        </w:tc>
      </w:tr>
      <w:tr w:rsidR="00113AE7" w:rsidRPr="00913267" w:rsidTr="00AC5858">
        <w:trPr>
          <w:trHeight w:val="278"/>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Hillingdon</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13.1</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Brent</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11.5</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Kensington and Chelsea</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14.9</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Ealing</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12.1</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Westminster</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11.8</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Hounslow</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11.5</w:t>
            </w:r>
          </w:p>
        </w:tc>
      </w:tr>
      <w:tr w:rsidR="00113AE7" w:rsidRPr="00913267" w:rsidTr="00AC5858">
        <w:trPr>
          <w:trHeight w:val="275"/>
        </w:trPr>
        <w:tc>
          <w:tcPr>
            <w:tcW w:w="3579" w:type="dxa"/>
            <w:shd w:val="clear" w:color="auto" w:fill="DBE5F1" w:themeFill="accent1" w:themeFillTint="33"/>
          </w:tcPr>
          <w:p w:rsidR="00F445A5" w:rsidRPr="00913267" w:rsidRDefault="0017216C" w:rsidP="00117BFD">
            <w:pPr>
              <w:pStyle w:val="TableParagraph"/>
              <w:spacing w:line="276" w:lineRule="auto"/>
              <w:jc w:val="both"/>
              <w:rPr>
                <w:sz w:val="24"/>
                <w:lang w:val="en-GB"/>
              </w:rPr>
            </w:pPr>
            <w:r w:rsidRPr="00913267">
              <w:rPr>
                <w:sz w:val="24"/>
                <w:lang w:val="en-GB"/>
              </w:rPr>
              <w:t>Hammersmith and Fulham</w:t>
            </w:r>
          </w:p>
        </w:tc>
        <w:tc>
          <w:tcPr>
            <w:tcW w:w="5277" w:type="dxa"/>
          </w:tcPr>
          <w:p w:rsidR="00F445A5" w:rsidRPr="00913267" w:rsidRDefault="00025F50" w:rsidP="00AC5858">
            <w:pPr>
              <w:pStyle w:val="TableParagraph"/>
              <w:spacing w:line="276" w:lineRule="auto"/>
              <w:jc w:val="center"/>
              <w:rPr>
                <w:sz w:val="24"/>
                <w:lang w:val="en-GB"/>
              </w:rPr>
            </w:pPr>
            <w:r w:rsidRPr="00913267">
              <w:rPr>
                <w:sz w:val="24"/>
                <w:lang w:val="en-GB"/>
              </w:rPr>
              <w:t>10.5</w:t>
            </w:r>
          </w:p>
        </w:tc>
      </w:tr>
    </w:tbl>
    <w:p w:rsidR="00916757" w:rsidRPr="00913267" w:rsidRDefault="00916757" w:rsidP="00117BFD">
      <w:pPr>
        <w:pStyle w:val="BodyText"/>
        <w:spacing w:line="276" w:lineRule="auto"/>
        <w:ind w:left="219"/>
        <w:jc w:val="both"/>
        <w:rPr>
          <w:sz w:val="16"/>
          <w:szCs w:val="16"/>
          <w:lang w:val="en-GB"/>
        </w:rPr>
      </w:pPr>
    </w:p>
    <w:p w:rsidR="00F445A5" w:rsidRPr="00913267" w:rsidRDefault="0017216C" w:rsidP="00117BFD">
      <w:pPr>
        <w:pStyle w:val="BodyText"/>
        <w:spacing w:line="276" w:lineRule="auto"/>
        <w:ind w:left="219"/>
        <w:jc w:val="both"/>
        <w:rPr>
          <w:sz w:val="16"/>
          <w:szCs w:val="16"/>
          <w:lang w:val="en-GB"/>
        </w:rPr>
      </w:pPr>
      <w:r w:rsidRPr="00913267">
        <w:rPr>
          <w:sz w:val="16"/>
          <w:szCs w:val="16"/>
          <w:lang w:val="en-GB"/>
        </w:rPr>
        <w:t xml:space="preserve">Source: </w:t>
      </w:r>
      <w:r w:rsidR="00025F50" w:rsidRPr="00913267">
        <w:rPr>
          <w:sz w:val="16"/>
          <w:szCs w:val="16"/>
          <w:lang w:val="en-GB"/>
        </w:rPr>
        <w:t>ONS</w:t>
      </w:r>
      <w:r w:rsidRPr="00913267">
        <w:rPr>
          <w:sz w:val="16"/>
          <w:szCs w:val="16"/>
          <w:lang w:val="en-GB"/>
        </w:rPr>
        <w:t xml:space="preserve"> projections</w:t>
      </w:r>
      <w:r w:rsidR="00C91763" w:rsidRPr="00913267">
        <w:rPr>
          <w:sz w:val="16"/>
          <w:szCs w:val="16"/>
          <w:lang w:val="en-GB"/>
        </w:rPr>
        <w:t xml:space="preserve"> - 2016</w:t>
      </w:r>
    </w:p>
    <w:p w:rsidR="00F445A5" w:rsidRDefault="00F445A5" w:rsidP="007836B9">
      <w:pPr>
        <w:pStyle w:val="BodyText"/>
        <w:spacing w:line="276" w:lineRule="auto"/>
        <w:jc w:val="both"/>
        <w:rPr>
          <w:lang w:val="en-GB"/>
        </w:rPr>
      </w:pPr>
    </w:p>
    <w:p w:rsidR="007C4EA5" w:rsidRPr="00913267" w:rsidRDefault="007C4EA5" w:rsidP="007836B9">
      <w:pPr>
        <w:pStyle w:val="BodyText"/>
        <w:spacing w:line="276" w:lineRule="auto"/>
        <w:jc w:val="both"/>
        <w:rPr>
          <w:lang w:val="en-GB"/>
        </w:rPr>
      </w:pPr>
    </w:p>
    <w:p w:rsidR="00025F50" w:rsidRPr="00913267" w:rsidRDefault="00025F50" w:rsidP="007836B9">
      <w:pPr>
        <w:pStyle w:val="BodyText"/>
        <w:spacing w:line="276" w:lineRule="auto"/>
        <w:jc w:val="both"/>
        <w:rPr>
          <w:rFonts w:asciiTheme="minorHAnsi" w:hAnsiTheme="minorHAnsi" w:cstheme="minorHAnsi"/>
          <w:lang w:val="en-GB"/>
        </w:rPr>
      </w:pPr>
      <w:r w:rsidRPr="00913267">
        <w:rPr>
          <w:lang w:val="en-GB"/>
        </w:rPr>
        <w:t>Harrow has seen an increase in the number of older residents since 2011.</w:t>
      </w:r>
      <w:r w:rsidR="007836B9" w:rsidRPr="00913267">
        <w:rPr>
          <w:lang w:val="en-GB"/>
        </w:rPr>
        <w:t xml:space="preserve"> </w:t>
      </w:r>
      <w:r w:rsidRPr="00913267">
        <w:rPr>
          <w:lang w:val="en-GB"/>
        </w:rPr>
        <w:t>The population of those aged 65 and over was 14.1% and this increased to 15.2% in 2016. High proportions of older residents live in the wards to the north. Stanmore Park has</w:t>
      </w:r>
      <w:r w:rsidR="0017216C" w:rsidRPr="00913267">
        <w:rPr>
          <w:lang w:val="en-GB"/>
        </w:rPr>
        <w:t xml:space="preserve"> the highest proportion of people over</w:t>
      </w:r>
      <w:r w:rsidRPr="00913267">
        <w:rPr>
          <w:lang w:val="en-GB"/>
        </w:rPr>
        <w:t xml:space="preserve"> the age of 65, with 23.5%</w:t>
      </w:r>
      <w:r w:rsidR="0017216C" w:rsidRPr="00913267">
        <w:rPr>
          <w:lang w:val="en-GB"/>
        </w:rPr>
        <w:t>.</w:t>
      </w:r>
      <w:r w:rsidRPr="00913267">
        <w:rPr>
          <w:lang w:val="en-GB"/>
        </w:rPr>
        <w:t xml:space="preserve"> </w:t>
      </w:r>
      <w:r w:rsidR="0017216C" w:rsidRPr="00913267">
        <w:rPr>
          <w:lang w:val="en-GB"/>
        </w:rPr>
        <w:t xml:space="preserve"> Roxbourne</w:t>
      </w:r>
      <w:r w:rsidRPr="00913267">
        <w:rPr>
          <w:lang w:val="en-GB"/>
        </w:rPr>
        <w:t>, Greenhill, Marlborough and Wealdstone have fewer than 12% of older residents</w:t>
      </w:r>
      <w:r w:rsidR="0017216C" w:rsidRPr="00913267">
        <w:rPr>
          <w:lang w:val="en-GB"/>
        </w:rPr>
        <w:t xml:space="preserve"> over 65. The north of the borough has a higher percentage of elderly residents than the south and central areas of the borough</w:t>
      </w:r>
      <w:r w:rsidR="007836B9" w:rsidRPr="00913267">
        <w:rPr>
          <w:lang w:val="en-GB"/>
        </w:rPr>
        <w:t xml:space="preserve"> (</w:t>
      </w:r>
      <w:r w:rsidRPr="00913267">
        <w:rPr>
          <w:lang w:val="en-GB"/>
        </w:rPr>
        <w:t>Source</w:t>
      </w:r>
      <w:r w:rsidR="00957E38" w:rsidRPr="00913267">
        <w:rPr>
          <w:lang w:val="en-GB"/>
        </w:rPr>
        <w:t>:</w:t>
      </w:r>
      <w:r w:rsidRPr="00913267">
        <w:rPr>
          <w:lang w:val="en-GB"/>
        </w:rPr>
        <w:t xml:space="preserve"> ONS projections</w:t>
      </w:r>
      <w:r w:rsidR="007836B9" w:rsidRPr="00913267">
        <w:rPr>
          <w:lang w:val="en-GB"/>
        </w:rPr>
        <w:t xml:space="preserve"> </w:t>
      </w:r>
      <w:r w:rsidR="00C91763" w:rsidRPr="00913267">
        <w:rPr>
          <w:b/>
          <w:lang w:val="en-GB"/>
        </w:rPr>
        <w:t>2016</w:t>
      </w:r>
      <w:r w:rsidR="007836B9" w:rsidRPr="00913267">
        <w:rPr>
          <w:lang w:val="en-GB"/>
        </w:rPr>
        <w:t>).</w:t>
      </w:r>
    </w:p>
    <w:p w:rsidR="00F445A5" w:rsidRPr="00913267" w:rsidRDefault="00F445A5" w:rsidP="007836B9">
      <w:pPr>
        <w:pStyle w:val="BodyText"/>
        <w:spacing w:line="276" w:lineRule="auto"/>
        <w:jc w:val="both"/>
        <w:rPr>
          <w:sz w:val="20"/>
          <w:lang w:val="en-GB"/>
        </w:rPr>
      </w:pPr>
    </w:p>
    <w:p w:rsidR="00F445A5" w:rsidRPr="00913267" w:rsidRDefault="00F445A5" w:rsidP="00117BFD">
      <w:pPr>
        <w:pStyle w:val="BodyText"/>
        <w:spacing w:line="276" w:lineRule="auto"/>
        <w:jc w:val="both"/>
        <w:rPr>
          <w:sz w:val="20"/>
          <w:lang w:val="en-GB"/>
        </w:rPr>
      </w:pPr>
    </w:p>
    <w:p w:rsidR="007836B9" w:rsidRDefault="007836B9" w:rsidP="0002327E">
      <w:pPr>
        <w:pStyle w:val="BodyText"/>
        <w:spacing w:line="276" w:lineRule="auto"/>
        <w:jc w:val="both"/>
        <w:rPr>
          <w:sz w:val="20"/>
          <w:lang w:val="en-GB"/>
        </w:rPr>
      </w:pPr>
    </w:p>
    <w:p w:rsidR="007C4EA5" w:rsidRDefault="007C4EA5" w:rsidP="0002327E">
      <w:pPr>
        <w:pStyle w:val="BodyText"/>
        <w:spacing w:line="276" w:lineRule="auto"/>
        <w:jc w:val="both"/>
        <w:rPr>
          <w:sz w:val="20"/>
          <w:lang w:val="en-GB"/>
        </w:rPr>
      </w:pPr>
    </w:p>
    <w:p w:rsidR="007C4EA5" w:rsidRDefault="007C4EA5" w:rsidP="0002327E">
      <w:pPr>
        <w:pStyle w:val="BodyText"/>
        <w:spacing w:line="276" w:lineRule="auto"/>
        <w:jc w:val="both"/>
        <w:rPr>
          <w:sz w:val="20"/>
          <w:lang w:val="en-GB"/>
        </w:rPr>
      </w:pPr>
    </w:p>
    <w:p w:rsidR="007C4EA5" w:rsidRDefault="007C4EA5" w:rsidP="0002327E">
      <w:pPr>
        <w:pStyle w:val="BodyText"/>
        <w:spacing w:line="276" w:lineRule="auto"/>
        <w:jc w:val="both"/>
        <w:rPr>
          <w:sz w:val="20"/>
          <w:lang w:val="en-GB"/>
        </w:rPr>
      </w:pPr>
    </w:p>
    <w:p w:rsidR="007C4EA5" w:rsidRPr="00913267" w:rsidRDefault="007C4EA5" w:rsidP="0002327E">
      <w:pPr>
        <w:pStyle w:val="BodyText"/>
        <w:spacing w:line="276" w:lineRule="auto"/>
        <w:jc w:val="both"/>
        <w:rPr>
          <w:sz w:val="20"/>
          <w:lang w:val="en-GB"/>
        </w:rPr>
      </w:pPr>
    </w:p>
    <w:p w:rsidR="007836B9" w:rsidRPr="00913267" w:rsidRDefault="007836B9" w:rsidP="0002327E">
      <w:pPr>
        <w:pStyle w:val="BodyText"/>
        <w:spacing w:line="276" w:lineRule="auto"/>
        <w:jc w:val="both"/>
        <w:rPr>
          <w:sz w:val="20"/>
          <w:lang w:val="en-GB"/>
        </w:rPr>
      </w:pPr>
    </w:p>
    <w:p w:rsidR="00025F50" w:rsidRPr="00913267" w:rsidRDefault="00025F50" w:rsidP="0002327E">
      <w:pPr>
        <w:pStyle w:val="BodyText"/>
        <w:spacing w:line="276" w:lineRule="auto"/>
        <w:jc w:val="both"/>
        <w:rPr>
          <w:lang w:val="en-GB"/>
        </w:rPr>
      </w:pPr>
      <w:proofErr w:type="gramStart"/>
      <w:r w:rsidRPr="00913267">
        <w:rPr>
          <w:u w:val="single"/>
          <w:lang w:val="en-GB"/>
        </w:rPr>
        <w:t>Percentage of elderly residents across Harrow’s electoral wards.</w:t>
      </w:r>
      <w:proofErr w:type="gramEnd"/>
    </w:p>
    <w:p w:rsidR="00025F50" w:rsidRPr="00913267" w:rsidRDefault="00025F50" w:rsidP="0002327E">
      <w:pPr>
        <w:pStyle w:val="Default"/>
        <w:spacing w:line="276" w:lineRule="auto"/>
        <w:jc w:val="both"/>
        <w:rPr>
          <w:color w:val="auto"/>
        </w:rPr>
      </w:pPr>
    </w:p>
    <w:p w:rsidR="00F445A5" w:rsidRPr="00913267" w:rsidRDefault="00025F50" w:rsidP="0002327E">
      <w:pPr>
        <w:pStyle w:val="Default"/>
        <w:spacing w:line="276" w:lineRule="auto"/>
        <w:rPr>
          <w:rFonts w:ascii="Times New Roman"/>
          <w:sz w:val="13"/>
        </w:rPr>
      </w:pPr>
      <w:r w:rsidRPr="00913267">
        <w:rPr>
          <w:color w:val="auto"/>
        </w:rPr>
        <w:t>Residents Aged 65+</w:t>
      </w:r>
      <w:r w:rsidRPr="00913267">
        <w:rPr>
          <w:color w:val="auto"/>
          <w:sz w:val="52"/>
          <w:szCs w:val="52"/>
        </w:rPr>
        <w:t xml:space="preserve"> </w:t>
      </w:r>
      <w:proofErr w:type="gramStart"/>
      <w:r w:rsidRPr="00913267">
        <w:rPr>
          <w:i/>
          <w:iCs/>
          <w:color w:val="auto"/>
          <w:sz w:val="16"/>
          <w:szCs w:val="16"/>
        </w:rPr>
        <w:t>Source</w:t>
      </w:r>
      <w:proofErr w:type="gramEnd"/>
      <w:r w:rsidRPr="00913267">
        <w:rPr>
          <w:i/>
          <w:iCs/>
          <w:color w:val="auto"/>
          <w:sz w:val="16"/>
          <w:szCs w:val="16"/>
        </w:rPr>
        <w:t>: ONS LSOA Mid-Year Estimates (2016)</w:t>
      </w:r>
    </w:p>
    <w:p w:rsidR="00025F50" w:rsidRPr="00913267" w:rsidRDefault="00025F50" w:rsidP="00117BFD">
      <w:pPr>
        <w:spacing w:line="276" w:lineRule="auto"/>
        <w:rPr>
          <w:sz w:val="14"/>
          <w:lang w:val="en-GB"/>
        </w:rPr>
      </w:pPr>
      <w:r w:rsidRPr="00913267">
        <w:rPr>
          <w:noProof/>
          <w:sz w:val="14"/>
          <w:lang w:val="en-GB" w:eastAsia="en-GB"/>
        </w:rPr>
        <w:drawing>
          <wp:inline distT="0" distB="0" distL="0" distR="0" wp14:anchorId="015725A5" wp14:editId="074BE9E3">
            <wp:extent cx="5792581" cy="6012000"/>
            <wp:effectExtent l="0" t="0" r="0" b="825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2581" cy="6012000"/>
                    </a:xfrm>
                    <a:prstGeom prst="rect">
                      <a:avLst/>
                    </a:prstGeom>
                    <a:noFill/>
                    <a:ln>
                      <a:noFill/>
                    </a:ln>
                  </pic:spPr>
                </pic:pic>
              </a:graphicData>
            </a:graphic>
          </wp:inline>
        </w:drawing>
      </w:r>
    </w:p>
    <w:p w:rsidR="00025F50" w:rsidRPr="00913267" w:rsidRDefault="00025F50" w:rsidP="00117BFD">
      <w:pPr>
        <w:spacing w:line="276" w:lineRule="auto"/>
        <w:rPr>
          <w:sz w:val="14"/>
          <w:lang w:val="en-GB"/>
        </w:rPr>
      </w:pPr>
    </w:p>
    <w:p w:rsidR="00025F50" w:rsidRPr="00913267" w:rsidRDefault="00025F50" w:rsidP="00117BFD">
      <w:pPr>
        <w:spacing w:line="276" w:lineRule="auto"/>
        <w:rPr>
          <w:sz w:val="14"/>
          <w:lang w:val="en-GB"/>
        </w:rPr>
      </w:pPr>
    </w:p>
    <w:p w:rsidR="00025F50" w:rsidRPr="00913267" w:rsidRDefault="00025F50" w:rsidP="0002327E">
      <w:pPr>
        <w:pStyle w:val="BodyText"/>
        <w:numPr>
          <w:ilvl w:val="0"/>
          <w:numId w:val="44"/>
        </w:numPr>
        <w:spacing w:line="276" w:lineRule="auto"/>
        <w:rPr>
          <w:sz w:val="20"/>
          <w:szCs w:val="20"/>
          <w:lang w:val="en-GB"/>
        </w:rPr>
      </w:pPr>
      <w:r w:rsidRPr="00913267">
        <w:rPr>
          <w:sz w:val="20"/>
          <w:szCs w:val="20"/>
          <w:lang w:val="en-GB"/>
        </w:rPr>
        <w:t>Harrow is ranked 7th in London for the proportion of residents aged 65 and over</w:t>
      </w:r>
    </w:p>
    <w:p w:rsidR="00025F50" w:rsidRPr="00913267" w:rsidRDefault="00025F50" w:rsidP="0002327E">
      <w:pPr>
        <w:pStyle w:val="BodyText"/>
        <w:numPr>
          <w:ilvl w:val="0"/>
          <w:numId w:val="44"/>
        </w:numPr>
        <w:spacing w:line="276" w:lineRule="auto"/>
        <w:rPr>
          <w:sz w:val="20"/>
          <w:szCs w:val="20"/>
          <w:lang w:val="en-GB"/>
        </w:rPr>
      </w:pPr>
      <w:r w:rsidRPr="00913267">
        <w:rPr>
          <w:sz w:val="20"/>
          <w:szCs w:val="20"/>
          <w:lang w:val="en-GB"/>
        </w:rPr>
        <w:t>5.2% of Harrows residents are aged 65 and over, 12% (4034 residents) higher since</w:t>
      </w:r>
      <w:r w:rsidR="0002327E" w:rsidRPr="00913267">
        <w:rPr>
          <w:sz w:val="20"/>
          <w:szCs w:val="20"/>
          <w:lang w:val="en-GB"/>
        </w:rPr>
        <w:t xml:space="preserve"> </w:t>
      </w:r>
      <w:r w:rsidR="005911AA" w:rsidRPr="00913267">
        <w:rPr>
          <w:sz w:val="20"/>
          <w:szCs w:val="20"/>
          <w:lang w:val="en-GB"/>
        </w:rPr>
        <w:t>2011</w:t>
      </w:r>
    </w:p>
    <w:p w:rsidR="00025F50" w:rsidRPr="00913267" w:rsidRDefault="007E5991" w:rsidP="0002327E">
      <w:pPr>
        <w:pStyle w:val="BodyText"/>
        <w:numPr>
          <w:ilvl w:val="0"/>
          <w:numId w:val="44"/>
        </w:numPr>
        <w:spacing w:line="276" w:lineRule="auto"/>
        <w:rPr>
          <w:sz w:val="20"/>
          <w:szCs w:val="20"/>
          <w:lang w:val="en-GB"/>
        </w:rPr>
      </w:pPr>
      <w:r w:rsidRPr="00913267">
        <w:rPr>
          <w:sz w:val="20"/>
          <w:szCs w:val="20"/>
          <w:lang w:val="en-GB"/>
        </w:rPr>
        <w:t>Source: Harrow vitality profile 2017-2018</w:t>
      </w:r>
    </w:p>
    <w:p w:rsidR="007E5991" w:rsidRPr="00913267" w:rsidRDefault="007E5991" w:rsidP="00117BFD">
      <w:pPr>
        <w:pStyle w:val="BodyText"/>
        <w:spacing w:line="276" w:lineRule="auto"/>
        <w:rPr>
          <w:sz w:val="14"/>
          <w:lang w:val="en-GB"/>
        </w:rPr>
      </w:pPr>
    </w:p>
    <w:p w:rsidR="007E5991" w:rsidRPr="00913267" w:rsidRDefault="007E5991" w:rsidP="00117BFD">
      <w:pPr>
        <w:pStyle w:val="BodyText"/>
        <w:spacing w:line="276" w:lineRule="auto"/>
        <w:rPr>
          <w:b/>
          <w:lang w:val="en-GB"/>
        </w:rPr>
      </w:pPr>
    </w:p>
    <w:p w:rsidR="0002327E" w:rsidRPr="00913267" w:rsidRDefault="0002327E" w:rsidP="00117BFD">
      <w:pPr>
        <w:pStyle w:val="BodyText"/>
        <w:spacing w:line="276" w:lineRule="auto"/>
        <w:rPr>
          <w:b/>
          <w:lang w:val="en-GB"/>
        </w:rPr>
      </w:pPr>
    </w:p>
    <w:p w:rsidR="0002327E" w:rsidRPr="00913267" w:rsidRDefault="0002327E" w:rsidP="00117BFD">
      <w:pPr>
        <w:pStyle w:val="BodyText"/>
        <w:spacing w:line="276" w:lineRule="auto"/>
        <w:rPr>
          <w:b/>
          <w:lang w:val="en-GB"/>
        </w:rPr>
      </w:pPr>
    </w:p>
    <w:p w:rsidR="00F445A5" w:rsidRPr="00F20AE3" w:rsidRDefault="0017216C" w:rsidP="00117BFD">
      <w:pPr>
        <w:pStyle w:val="BodyText"/>
        <w:spacing w:line="276" w:lineRule="auto"/>
        <w:rPr>
          <w:u w:val="single"/>
          <w:lang w:val="en-GB"/>
        </w:rPr>
      </w:pPr>
      <w:r w:rsidRPr="00F20AE3">
        <w:rPr>
          <w:u w:val="single"/>
          <w:lang w:val="en-GB"/>
        </w:rPr>
        <w:t>Harrow’s elderly population is projected to rise over the next 15</w:t>
      </w:r>
      <w:r w:rsidRPr="00F20AE3">
        <w:rPr>
          <w:spacing w:val="-18"/>
          <w:u w:val="single"/>
          <w:lang w:val="en-GB"/>
        </w:rPr>
        <w:t xml:space="preserve"> </w:t>
      </w:r>
      <w:r w:rsidRPr="00F20AE3">
        <w:rPr>
          <w:u w:val="single"/>
          <w:lang w:val="en-GB"/>
        </w:rPr>
        <w:t>years</w:t>
      </w:r>
    </w:p>
    <w:p w:rsidR="00F445A5" w:rsidRPr="00F20AE3" w:rsidRDefault="00F445A5" w:rsidP="00117BFD">
      <w:pPr>
        <w:pStyle w:val="BodyText"/>
        <w:spacing w:line="276" w:lineRule="auto"/>
        <w:rPr>
          <w:lang w:val="en-GB"/>
        </w:rPr>
      </w:pPr>
    </w:p>
    <w:p w:rsidR="00F445A5" w:rsidRPr="00913267" w:rsidRDefault="0017216C" w:rsidP="00117BFD">
      <w:pPr>
        <w:pStyle w:val="BodyText"/>
        <w:spacing w:line="276" w:lineRule="auto"/>
        <w:rPr>
          <w:lang w:val="en-GB"/>
        </w:rPr>
      </w:pPr>
      <w:r w:rsidRPr="00F20AE3">
        <w:rPr>
          <w:lang w:val="en-GB"/>
        </w:rPr>
        <w:t xml:space="preserve">The population of over 65s is projected to </w:t>
      </w:r>
      <w:r w:rsidR="0002327E" w:rsidRPr="00F20AE3">
        <w:rPr>
          <w:lang w:val="en-GB"/>
        </w:rPr>
        <w:t>increase to 45,</w:t>
      </w:r>
      <w:r w:rsidR="00E306B9" w:rsidRPr="00F20AE3">
        <w:rPr>
          <w:lang w:val="en-GB"/>
        </w:rPr>
        <w:t xml:space="preserve">500. </w:t>
      </w:r>
      <w:r w:rsidRPr="00F20AE3">
        <w:rPr>
          <w:lang w:val="en-GB"/>
        </w:rPr>
        <w:t xml:space="preserve"> Rises will be seen in all age groups</w:t>
      </w:r>
      <w:r w:rsidR="005911AA" w:rsidRPr="00F20AE3">
        <w:rPr>
          <w:lang w:val="en-GB"/>
        </w:rPr>
        <w:t xml:space="preserve"> over the age of 65 between 2018</w:t>
      </w:r>
      <w:r w:rsidR="0041703F">
        <w:rPr>
          <w:lang w:val="en-GB"/>
        </w:rPr>
        <w:t xml:space="preserve"> and 2025.</w:t>
      </w:r>
      <w:r w:rsidRPr="00F20AE3">
        <w:rPr>
          <w:lang w:val="en-GB"/>
        </w:rPr>
        <w:t xml:space="preserve"> </w:t>
      </w:r>
      <w:r w:rsidR="00E306B9" w:rsidRPr="00F20AE3">
        <w:rPr>
          <w:lang w:val="en-GB"/>
        </w:rPr>
        <w:t>This increase in population will impact on the number of people with dementia</w:t>
      </w:r>
    </w:p>
    <w:p w:rsidR="00025F50" w:rsidRPr="00913267" w:rsidRDefault="00025F50" w:rsidP="00117BFD">
      <w:pPr>
        <w:pStyle w:val="BodyText"/>
        <w:spacing w:line="276" w:lineRule="auto"/>
        <w:ind w:left="219" w:right="1262"/>
        <w:rPr>
          <w:lang w:val="en-GB"/>
        </w:rPr>
      </w:pPr>
    </w:p>
    <w:p w:rsidR="00F445A5" w:rsidRPr="00913267" w:rsidRDefault="00025F50" w:rsidP="00117BFD">
      <w:pPr>
        <w:pStyle w:val="BodyText"/>
        <w:spacing w:line="276" w:lineRule="auto"/>
        <w:rPr>
          <w:sz w:val="26"/>
          <w:lang w:val="en-GB"/>
        </w:rPr>
      </w:pPr>
      <w:r w:rsidRPr="00DC3F15">
        <w:rPr>
          <w:noProof/>
          <w:bdr w:val="double" w:sz="4" w:space="0" w:color="auto"/>
          <w:lang w:val="en-GB" w:eastAsia="en-GB"/>
        </w:rPr>
        <w:drawing>
          <wp:inline distT="0" distB="0" distL="0" distR="0" wp14:anchorId="06584CC3" wp14:editId="048582AA">
            <wp:extent cx="5875867" cy="2700867"/>
            <wp:effectExtent l="0" t="0" r="10795" b="23495"/>
            <wp:docPr id="437" name="Chart 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7E38" w:rsidRPr="00913267" w:rsidRDefault="005911AA" w:rsidP="00117BFD">
      <w:pPr>
        <w:tabs>
          <w:tab w:val="left" w:pos="1033"/>
        </w:tabs>
        <w:spacing w:line="276" w:lineRule="auto"/>
        <w:ind w:left="287" w:right="972"/>
        <w:rPr>
          <w:sz w:val="16"/>
          <w:szCs w:val="16"/>
          <w:lang w:val="en-GB"/>
        </w:rPr>
      </w:pPr>
      <w:r w:rsidRPr="00913267">
        <w:rPr>
          <w:sz w:val="16"/>
          <w:szCs w:val="16"/>
          <w:lang w:val="en-GB"/>
        </w:rPr>
        <w:t>Source – GLA intelligence Unit- Released in July 2017</w:t>
      </w:r>
    </w:p>
    <w:p w:rsidR="005911AA" w:rsidRPr="00913267" w:rsidRDefault="005911AA" w:rsidP="00913267">
      <w:pPr>
        <w:pStyle w:val="BodyText"/>
        <w:spacing w:line="276" w:lineRule="auto"/>
        <w:ind w:right="4"/>
        <w:rPr>
          <w:u w:val="single"/>
          <w:lang w:val="en-GB"/>
        </w:rPr>
      </w:pPr>
    </w:p>
    <w:p w:rsidR="005911AA" w:rsidRPr="00913267" w:rsidRDefault="00913267" w:rsidP="00913267">
      <w:pPr>
        <w:spacing w:line="276" w:lineRule="auto"/>
        <w:ind w:right="4"/>
        <w:rPr>
          <w:rFonts w:eastAsia="Times New Roman" w:cstheme="minorHAnsi"/>
          <w:bCs/>
          <w:color w:val="000000" w:themeColor="text1"/>
          <w:sz w:val="24"/>
          <w:szCs w:val="18"/>
          <w:lang w:val="en-GB" w:eastAsia="en-GB"/>
        </w:rPr>
      </w:pPr>
      <w:r w:rsidRPr="00913267">
        <w:rPr>
          <w:rFonts w:eastAsia="Times New Roman" w:cstheme="minorHAnsi"/>
          <w:bCs/>
          <w:color w:val="000000" w:themeColor="text1"/>
          <w:sz w:val="24"/>
          <w:szCs w:val="18"/>
          <w:lang w:val="en-GB" w:eastAsia="en-GB"/>
        </w:rPr>
        <w:t>Estimated Dementia Prevalence (65+ only) NHS England Dementia Rate Denominator</w:t>
      </w:r>
    </w:p>
    <w:tbl>
      <w:tblPr>
        <w:tblW w:w="9077"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22"/>
        <w:gridCol w:w="1551"/>
        <w:gridCol w:w="1552"/>
        <w:gridCol w:w="1552"/>
      </w:tblGrid>
      <w:tr w:rsidR="00913267" w:rsidRPr="00913267" w:rsidTr="00824C5E">
        <w:trPr>
          <w:trHeight w:val="1874"/>
        </w:trPr>
        <w:tc>
          <w:tcPr>
            <w:tcW w:w="4422" w:type="dxa"/>
            <w:shd w:val="clear" w:color="auto" w:fill="DBE5F1" w:themeFill="accent1" w:themeFillTint="33"/>
            <w:noWrap/>
            <w:vAlign w:val="center"/>
            <w:hideMark/>
          </w:tcPr>
          <w:p w:rsidR="00913267" w:rsidRPr="00913267" w:rsidRDefault="00913267" w:rsidP="00824C5E">
            <w:pPr>
              <w:rPr>
                <w:rFonts w:eastAsia="Times New Roman" w:cstheme="minorHAnsi"/>
                <w:b/>
                <w:bCs/>
                <w:color w:val="000000" w:themeColor="text1"/>
                <w:sz w:val="18"/>
                <w:szCs w:val="18"/>
                <w:lang w:val="en-GB" w:eastAsia="en-GB"/>
              </w:rPr>
            </w:pPr>
            <w:r w:rsidRPr="0041703F">
              <w:rPr>
                <w:rFonts w:eastAsia="Times New Roman" w:cstheme="minorHAnsi"/>
                <w:b/>
                <w:bCs/>
                <w:color w:val="000000" w:themeColor="text1"/>
                <w:sz w:val="28"/>
                <w:szCs w:val="18"/>
                <w:lang w:val="en-GB" w:eastAsia="en-GB"/>
              </w:rPr>
              <w:t>July 2018</w:t>
            </w:r>
          </w:p>
        </w:tc>
        <w:tc>
          <w:tcPr>
            <w:tcW w:w="1551" w:type="dxa"/>
            <w:shd w:val="clear" w:color="auto" w:fill="DBE5F1" w:themeFill="accent1" w:themeFillTint="33"/>
            <w:vAlign w:val="center"/>
            <w:hideMark/>
          </w:tcPr>
          <w:p w:rsidR="00913267" w:rsidRPr="00913267" w:rsidRDefault="00913267" w:rsidP="00824C5E">
            <w:pPr>
              <w:jc w:val="center"/>
              <w:rPr>
                <w:rFonts w:eastAsia="Times New Roman" w:cstheme="minorHAnsi"/>
                <w:b/>
                <w:bCs/>
                <w:color w:val="000000" w:themeColor="text1"/>
                <w:sz w:val="18"/>
                <w:szCs w:val="18"/>
                <w:lang w:val="en-GB" w:eastAsia="en-GB"/>
              </w:rPr>
            </w:pPr>
            <w:r w:rsidRPr="00913267">
              <w:rPr>
                <w:rFonts w:eastAsia="Times New Roman" w:cstheme="minorHAnsi"/>
                <w:b/>
                <w:bCs/>
                <w:color w:val="000000" w:themeColor="text1"/>
                <w:sz w:val="18"/>
                <w:szCs w:val="18"/>
                <w:lang w:val="en-GB" w:eastAsia="en-GB"/>
              </w:rPr>
              <w:t>Monthly Dementia Diagnosis Rate</w:t>
            </w:r>
            <w:r w:rsidRPr="00913267">
              <w:rPr>
                <w:rFonts w:eastAsia="Times New Roman" w:cstheme="minorHAnsi"/>
                <w:b/>
                <w:bCs/>
                <w:color w:val="000000" w:themeColor="text1"/>
                <w:sz w:val="18"/>
                <w:szCs w:val="18"/>
                <w:lang w:val="en-GB" w:eastAsia="en-GB"/>
              </w:rPr>
              <w:br/>
              <w:t>Indicator</w:t>
            </w:r>
          </w:p>
        </w:tc>
        <w:tc>
          <w:tcPr>
            <w:tcW w:w="1552" w:type="dxa"/>
            <w:shd w:val="clear" w:color="auto" w:fill="DBE5F1" w:themeFill="accent1" w:themeFillTint="33"/>
            <w:vAlign w:val="center"/>
            <w:hideMark/>
          </w:tcPr>
          <w:p w:rsidR="00913267" w:rsidRPr="00913267" w:rsidRDefault="00913267" w:rsidP="00824C5E">
            <w:pPr>
              <w:jc w:val="center"/>
              <w:rPr>
                <w:rFonts w:eastAsia="Times New Roman" w:cstheme="minorHAnsi"/>
                <w:b/>
                <w:bCs/>
                <w:color w:val="000000" w:themeColor="text1"/>
                <w:sz w:val="18"/>
                <w:szCs w:val="18"/>
                <w:lang w:val="en-GB" w:eastAsia="en-GB"/>
              </w:rPr>
            </w:pPr>
            <w:r w:rsidRPr="00913267">
              <w:rPr>
                <w:rFonts w:eastAsia="Times New Roman" w:cstheme="minorHAnsi"/>
                <w:b/>
                <w:bCs/>
                <w:color w:val="000000" w:themeColor="text1"/>
                <w:sz w:val="18"/>
                <w:szCs w:val="18"/>
                <w:lang w:val="en-GB" w:eastAsia="en-GB"/>
              </w:rPr>
              <w:t xml:space="preserve">Sum of Dementia Registers </w:t>
            </w:r>
            <w:r w:rsidRPr="00913267">
              <w:rPr>
                <w:rFonts w:eastAsia="Times New Roman" w:cstheme="minorHAnsi"/>
                <w:b/>
                <w:bCs/>
                <w:color w:val="000000" w:themeColor="text1"/>
                <w:sz w:val="18"/>
                <w:szCs w:val="18"/>
                <w:lang w:val="en-GB" w:eastAsia="en-GB"/>
              </w:rPr>
              <w:br/>
              <w:t>(65 + only)</w:t>
            </w:r>
            <w:r w:rsidRPr="00913267">
              <w:rPr>
                <w:rFonts w:eastAsia="Times New Roman" w:cstheme="minorHAnsi"/>
                <w:b/>
                <w:bCs/>
                <w:color w:val="000000" w:themeColor="text1"/>
                <w:sz w:val="18"/>
                <w:szCs w:val="18"/>
                <w:lang w:val="en-GB" w:eastAsia="en-GB"/>
              </w:rPr>
              <w:br/>
              <w:t xml:space="preserve"> latest available</w:t>
            </w:r>
            <w:r w:rsidRPr="00913267">
              <w:rPr>
                <w:rFonts w:eastAsia="Times New Roman" w:cstheme="minorHAnsi"/>
                <w:b/>
                <w:bCs/>
                <w:color w:val="000000" w:themeColor="text1"/>
                <w:sz w:val="18"/>
                <w:szCs w:val="18"/>
                <w:lang w:val="en-GB" w:eastAsia="en-GB"/>
              </w:rPr>
              <w:br/>
              <w:t>Numerator</w:t>
            </w:r>
          </w:p>
        </w:tc>
        <w:tc>
          <w:tcPr>
            <w:tcW w:w="1552" w:type="dxa"/>
            <w:shd w:val="clear" w:color="auto" w:fill="DBE5F1" w:themeFill="accent1" w:themeFillTint="33"/>
            <w:vAlign w:val="center"/>
            <w:hideMark/>
          </w:tcPr>
          <w:p w:rsidR="00913267" w:rsidRPr="00913267" w:rsidRDefault="00913267" w:rsidP="00824C5E">
            <w:pPr>
              <w:jc w:val="center"/>
              <w:rPr>
                <w:rFonts w:eastAsia="Times New Roman" w:cstheme="minorHAnsi"/>
                <w:b/>
                <w:bCs/>
                <w:color w:val="000000" w:themeColor="text1"/>
                <w:sz w:val="18"/>
                <w:szCs w:val="18"/>
                <w:lang w:val="en-GB" w:eastAsia="en-GB"/>
              </w:rPr>
            </w:pPr>
            <w:r w:rsidRPr="00913267">
              <w:rPr>
                <w:rFonts w:eastAsia="Times New Roman" w:cstheme="minorHAnsi"/>
                <w:b/>
                <w:bCs/>
                <w:color w:val="000000" w:themeColor="text1"/>
                <w:sz w:val="18"/>
                <w:szCs w:val="18"/>
                <w:lang w:val="en-GB" w:eastAsia="en-GB"/>
              </w:rPr>
              <w:t xml:space="preserve">Estimated Dementia Prevalence </w:t>
            </w:r>
            <w:r w:rsidRPr="00913267">
              <w:rPr>
                <w:rFonts w:eastAsia="Times New Roman" w:cstheme="minorHAnsi"/>
                <w:b/>
                <w:bCs/>
                <w:color w:val="000000" w:themeColor="text1"/>
                <w:sz w:val="18"/>
                <w:szCs w:val="18"/>
                <w:lang w:val="en-GB" w:eastAsia="en-GB"/>
              </w:rPr>
              <w:br/>
              <w:t>(65 + only)</w:t>
            </w:r>
            <w:r w:rsidRPr="00913267">
              <w:rPr>
                <w:rFonts w:eastAsia="Times New Roman" w:cstheme="minorHAnsi"/>
                <w:b/>
                <w:bCs/>
                <w:color w:val="000000" w:themeColor="text1"/>
                <w:sz w:val="18"/>
                <w:szCs w:val="18"/>
                <w:lang w:val="en-GB" w:eastAsia="en-GB"/>
              </w:rPr>
              <w:br/>
              <w:t>CFAS II</w:t>
            </w:r>
            <w:r w:rsidRPr="00913267">
              <w:rPr>
                <w:rFonts w:eastAsia="Times New Roman" w:cstheme="minorHAnsi"/>
                <w:b/>
                <w:bCs/>
                <w:color w:val="000000" w:themeColor="text1"/>
                <w:sz w:val="18"/>
                <w:szCs w:val="18"/>
                <w:lang w:val="en-GB" w:eastAsia="en-GB"/>
              </w:rPr>
              <w:br/>
              <w:t>Denominator</w:t>
            </w:r>
          </w:p>
        </w:tc>
      </w:tr>
      <w:tr w:rsidR="00913267" w:rsidRPr="00913267" w:rsidTr="00824C5E">
        <w:trPr>
          <w:trHeight w:val="31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England</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67.8%</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441,626</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651,772</w:t>
            </w:r>
          </w:p>
        </w:tc>
      </w:tr>
      <w:tr w:rsidR="00913267" w:rsidRPr="00913267" w:rsidTr="00824C5E">
        <w:trPr>
          <w:trHeight w:val="31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London</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70.8%</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47,863</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67,617</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Brent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74.9%</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1,846</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2,464</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Central London (Westminster)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73.4%</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1,044</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1,422</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Ealing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76.1%</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2,211</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2,904</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Hammersmith and Fulham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66.8%</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839</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1,256</w:t>
            </w:r>
          </w:p>
        </w:tc>
      </w:tr>
      <w:tr w:rsidR="00913267" w:rsidRPr="00913267" w:rsidTr="00824C5E">
        <w:trPr>
          <w:trHeight w:val="308"/>
        </w:trPr>
        <w:tc>
          <w:tcPr>
            <w:tcW w:w="4422" w:type="dxa"/>
            <w:shd w:val="clear" w:color="auto" w:fill="DBE5F1" w:themeFill="accent1" w:themeFillTint="33"/>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Harrow CCG</w:t>
            </w:r>
          </w:p>
        </w:tc>
        <w:tc>
          <w:tcPr>
            <w:tcW w:w="1551" w:type="dxa"/>
            <w:shd w:val="clear" w:color="auto" w:fill="DBE5F1" w:themeFill="accent1" w:themeFillTint="33"/>
            <w:noWrap/>
            <w:vAlign w:val="bottom"/>
            <w:hideMark/>
          </w:tcPr>
          <w:p w:rsidR="00913267" w:rsidRPr="00913267" w:rsidRDefault="00913267" w:rsidP="00824C5E">
            <w:pPr>
              <w:jc w:val="center"/>
              <w:rPr>
                <w:rFonts w:eastAsia="Times New Roman" w:cstheme="minorHAnsi"/>
                <w:color w:val="9C0006"/>
                <w:szCs w:val="18"/>
                <w:lang w:val="en-GB" w:eastAsia="en-GB"/>
              </w:rPr>
            </w:pPr>
            <w:r w:rsidRPr="00913267">
              <w:rPr>
                <w:rFonts w:eastAsia="Times New Roman" w:cstheme="minorHAnsi"/>
                <w:color w:val="9C0006"/>
                <w:szCs w:val="18"/>
                <w:lang w:val="en-GB" w:eastAsia="en-GB"/>
              </w:rPr>
              <w:t>63.0%</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1,589</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2,524</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Hillingdon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66.9%</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1,814</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2,711</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Hounslow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71.1%</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1,469</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2,065</w:t>
            </w:r>
          </w:p>
        </w:tc>
      </w:tr>
      <w:tr w:rsidR="00913267" w:rsidRPr="00913267" w:rsidTr="00824C5E">
        <w:trPr>
          <w:trHeight w:val="308"/>
        </w:trPr>
        <w:tc>
          <w:tcPr>
            <w:tcW w:w="4422" w:type="dxa"/>
            <w:shd w:val="clear" w:color="auto" w:fill="auto"/>
            <w:noWrap/>
            <w:vAlign w:val="bottom"/>
            <w:hideMark/>
          </w:tcPr>
          <w:p w:rsidR="00913267" w:rsidRPr="00913267" w:rsidRDefault="00913267" w:rsidP="00824C5E">
            <w:pPr>
              <w:rPr>
                <w:rFonts w:eastAsia="Times New Roman" w:cstheme="minorHAnsi"/>
                <w:color w:val="000000"/>
                <w:szCs w:val="18"/>
                <w:lang w:val="en-GB" w:eastAsia="en-GB"/>
              </w:rPr>
            </w:pPr>
            <w:r w:rsidRPr="00913267">
              <w:rPr>
                <w:rFonts w:eastAsia="Times New Roman" w:cstheme="minorHAnsi"/>
                <w:color w:val="000000"/>
                <w:szCs w:val="18"/>
                <w:lang w:val="en-GB" w:eastAsia="en-GB"/>
              </w:rPr>
              <w:t>NHS West London CCG</w:t>
            </w:r>
          </w:p>
        </w:tc>
        <w:tc>
          <w:tcPr>
            <w:tcW w:w="1551" w:type="dxa"/>
            <w:shd w:val="clear" w:color="auto" w:fill="auto"/>
            <w:noWrap/>
            <w:vAlign w:val="bottom"/>
            <w:hideMark/>
          </w:tcPr>
          <w:p w:rsidR="00913267" w:rsidRPr="00913267" w:rsidRDefault="00913267" w:rsidP="00824C5E">
            <w:pPr>
              <w:jc w:val="center"/>
              <w:rPr>
                <w:rFonts w:eastAsia="Times New Roman" w:cstheme="minorHAnsi"/>
                <w:color w:val="006100"/>
                <w:szCs w:val="18"/>
                <w:lang w:val="en-GB" w:eastAsia="en-GB"/>
              </w:rPr>
            </w:pPr>
            <w:r w:rsidRPr="00913267">
              <w:rPr>
                <w:rFonts w:eastAsia="Times New Roman" w:cstheme="minorHAnsi"/>
                <w:color w:val="006100"/>
                <w:szCs w:val="18"/>
                <w:lang w:val="en-GB" w:eastAsia="en-GB"/>
              </w:rPr>
              <w:t>75.7%</w:t>
            </w:r>
          </w:p>
        </w:tc>
        <w:tc>
          <w:tcPr>
            <w:tcW w:w="1552" w:type="dxa"/>
            <w:shd w:val="clear" w:color="auto" w:fill="auto"/>
            <w:noWrap/>
            <w:vAlign w:val="bottom"/>
            <w:hideMark/>
          </w:tcPr>
          <w:p w:rsidR="00913267" w:rsidRPr="00913267" w:rsidRDefault="00913267" w:rsidP="00824C5E">
            <w:pPr>
              <w:jc w:val="center"/>
              <w:rPr>
                <w:rFonts w:eastAsia="Times New Roman" w:cstheme="minorHAnsi"/>
                <w:color w:val="000000"/>
                <w:szCs w:val="18"/>
                <w:lang w:val="en-GB" w:eastAsia="en-GB"/>
              </w:rPr>
            </w:pPr>
            <w:r w:rsidRPr="00913267">
              <w:rPr>
                <w:rFonts w:eastAsia="Times New Roman" w:cstheme="minorHAnsi"/>
                <w:color w:val="000000"/>
                <w:szCs w:val="18"/>
                <w:lang w:val="en-GB" w:eastAsia="en-GB"/>
              </w:rPr>
              <w:t>1,338</w:t>
            </w:r>
          </w:p>
        </w:tc>
        <w:tc>
          <w:tcPr>
            <w:tcW w:w="1552" w:type="dxa"/>
            <w:shd w:val="clear" w:color="auto" w:fill="DBE5F1" w:themeFill="accent1" w:themeFillTint="33"/>
            <w:noWrap/>
            <w:vAlign w:val="bottom"/>
            <w:hideMark/>
          </w:tcPr>
          <w:p w:rsidR="00913267" w:rsidRPr="00913267" w:rsidRDefault="00913267" w:rsidP="00824C5E">
            <w:pPr>
              <w:jc w:val="center"/>
              <w:rPr>
                <w:rFonts w:eastAsia="Times New Roman" w:cstheme="minorHAnsi"/>
                <w:b/>
                <w:color w:val="000000"/>
                <w:szCs w:val="18"/>
                <w:lang w:val="en-GB" w:eastAsia="en-GB"/>
              </w:rPr>
            </w:pPr>
            <w:r w:rsidRPr="00913267">
              <w:rPr>
                <w:rFonts w:eastAsia="Times New Roman" w:cstheme="minorHAnsi"/>
                <w:b/>
                <w:color w:val="000000"/>
                <w:szCs w:val="18"/>
                <w:lang w:val="en-GB" w:eastAsia="en-GB"/>
              </w:rPr>
              <w:t>1,767</w:t>
            </w:r>
          </w:p>
        </w:tc>
      </w:tr>
    </w:tbl>
    <w:p w:rsidR="00913267" w:rsidRPr="0041703F" w:rsidRDefault="0041703F" w:rsidP="00913267">
      <w:pPr>
        <w:spacing w:line="276" w:lineRule="auto"/>
        <w:jc w:val="both"/>
        <w:rPr>
          <w:sz w:val="18"/>
          <w:szCs w:val="24"/>
          <w:lang w:val="en-GB"/>
        </w:rPr>
      </w:pPr>
      <w:r w:rsidRPr="0041703F">
        <w:rPr>
          <w:sz w:val="18"/>
          <w:szCs w:val="24"/>
          <w:lang w:val="en-GB"/>
        </w:rPr>
        <w:t xml:space="preserve">(Source: NHS England </w:t>
      </w:r>
      <w:r w:rsidRPr="0041703F">
        <w:rPr>
          <w:b/>
          <w:sz w:val="18"/>
          <w:szCs w:val="24"/>
          <w:lang w:val="en-GB"/>
        </w:rPr>
        <w:t>July 2018</w:t>
      </w:r>
      <w:r w:rsidRPr="0041703F">
        <w:rPr>
          <w:sz w:val="18"/>
          <w:szCs w:val="24"/>
          <w:lang w:val="en-GB"/>
        </w:rPr>
        <w:t xml:space="preserve">) </w:t>
      </w:r>
    </w:p>
    <w:p w:rsidR="005911AA" w:rsidRPr="00913267" w:rsidRDefault="005911AA" w:rsidP="00913267">
      <w:pPr>
        <w:spacing w:line="276" w:lineRule="auto"/>
        <w:jc w:val="both"/>
        <w:rPr>
          <w:b/>
          <w:sz w:val="24"/>
          <w:szCs w:val="24"/>
          <w:lang w:val="en-GB"/>
        </w:rPr>
      </w:pPr>
    </w:p>
    <w:p w:rsidR="00F445A5" w:rsidRPr="00913267" w:rsidRDefault="004C6080" w:rsidP="00913267">
      <w:pPr>
        <w:spacing w:line="276" w:lineRule="auto"/>
        <w:jc w:val="both"/>
        <w:rPr>
          <w:sz w:val="24"/>
          <w:szCs w:val="24"/>
          <w:u w:val="single"/>
          <w:lang w:val="en-GB"/>
        </w:rPr>
      </w:pPr>
      <w:r>
        <w:rPr>
          <w:sz w:val="24"/>
          <w:szCs w:val="24"/>
          <w:u w:val="single"/>
          <w:lang w:val="en-GB"/>
        </w:rPr>
        <w:t>D</w:t>
      </w:r>
      <w:r w:rsidR="0017216C" w:rsidRPr="00913267">
        <w:rPr>
          <w:sz w:val="24"/>
          <w:szCs w:val="24"/>
          <w:u w:val="single"/>
          <w:lang w:val="en-GB"/>
        </w:rPr>
        <w:t xml:space="preserve">ementia </w:t>
      </w:r>
      <w:r>
        <w:rPr>
          <w:sz w:val="24"/>
          <w:szCs w:val="24"/>
          <w:u w:val="single"/>
          <w:lang w:val="en-GB"/>
        </w:rPr>
        <w:t xml:space="preserve">cases recorded </w:t>
      </w:r>
      <w:r w:rsidR="0017216C" w:rsidRPr="00913267">
        <w:rPr>
          <w:sz w:val="24"/>
          <w:szCs w:val="24"/>
          <w:u w:val="single"/>
          <w:lang w:val="en-GB"/>
        </w:rPr>
        <w:t>on the GP register</w:t>
      </w:r>
    </w:p>
    <w:p w:rsidR="00F445A5" w:rsidRPr="00913267" w:rsidRDefault="00F445A5" w:rsidP="00913267">
      <w:pPr>
        <w:pStyle w:val="BodyText"/>
        <w:spacing w:line="276" w:lineRule="auto"/>
        <w:jc w:val="both"/>
        <w:rPr>
          <w:b/>
          <w:lang w:val="en-GB"/>
        </w:rPr>
      </w:pPr>
    </w:p>
    <w:p w:rsidR="00C91763" w:rsidRPr="00913267" w:rsidRDefault="005911AA" w:rsidP="00913267">
      <w:pPr>
        <w:pStyle w:val="BodyText"/>
        <w:spacing w:line="276" w:lineRule="auto"/>
        <w:jc w:val="both"/>
        <w:rPr>
          <w:lang w:val="en-GB"/>
        </w:rPr>
      </w:pPr>
      <w:r w:rsidRPr="00913267">
        <w:rPr>
          <w:lang w:val="en-GB"/>
        </w:rPr>
        <w:t>I</w:t>
      </w:r>
      <w:r w:rsidR="007D6B8A" w:rsidRPr="00913267">
        <w:rPr>
          <w:lang w:val="en-GB"/>
        </w:rPr>
        <w:t>n July</w:t>
      </w:r>
      <w:r w:rsidR="001A1BE7" w:rsidRPr="00913267">
        <w:rPr>
          <w:lang w:val="en-GB"/>
        </w:rPr>
        <w:t xml:space="preserve"> 2018</w:t>
      </w:r>
      <w:r w:rsidR="007D6B8A" w:rsidRPr="00913267">
        <w:rPr>
          <w:lang w:val="en-GB"/>
        </w:rPr>
        <w:t>,</w:t>
      </w:r>
      <w:r w:rsidRPr="00913267">
        <w:rPr>
          <w:lang w:val="en-GB"/>
        </w:rPr>
        <w:t xml:space="preserve"> </w:t>
      </w:r>
      <w:r w:rsidR="00B71A4D" w:rsidRPr="00913267">
        <w:rPr>
          <w:lang w:val="en-GB"/>
        </w:rPr>
        <w:t>1,</w:t>
      </w:r>
      <w:r w:rsidR="004C6080">
        <w:rPr>
          <w:lang w:val="en-GB"/>
        </w:rPr>
        <w:t>589 people aged 65 and over had</w:t>
      </w:r>
      <w:r w:rsidR="00B71A4D" w:rsidRPr="00913267">
        <w:rPr>
          <w:lang w:val="en-GB"/>
        </w:rPr>
        <w:t xml:space="preserve"> been diagnosed with dementia. It is </w:t>
      </w:r>
      <w:r w:rsidRPr="00913267">
        <w:rPr>
          <w:lang w:val="en-GB"/>
        </w:rPr>
        <w:t>estimated that</w:t>
      </w:r>
      <w:r w:rsidR="00B71A4D" w:rsidRPr="00913267">
        <w:rPr>
          <w:lang w:val="en-GB"/>
        </w:rPr>
        <w:t xml:space="preserve"> 2,524 people are living with dementia in Harrow. </w:t>
      </w:r>
      <w:r w:rsidR="00755067">
        <w:rPr>
          <w:lang w:val="en-GB"/>
        </w:rPr>
        <w:t>When applying</w:t>
      </w:r>
      <w:r w:rsidR="004C6080">
        <w:rPr>
          <w:lang w:val="en-GB"/>
        </w:rPr>
        <w:t xml:space="preserve"> the Dementia Diagnosis Rate </w:t>
      </w:r>
      <w:r w:rsidR="00755067">
        <w:rPr>
          <w:lang w:val="en-GB"/>
        </w:rPr>
        <w:t xml:space="preserve">shows Harrow </w:t>
      </w:r>
      <w:r w:rsidR="004C6080">
        <w:rPr>
          <w:lang w:val="en-GB"/>
        </w:rPr>
        <w:t xml:space="preserve">as </w:t>
      </w:r>
      <w:r w:rsidR="00B71A4D" w:rsidRPr="00913267">
        <w:rPr>
          <w:lang w:val="en-GB"/>
        </w:rPr>
        <w:t>63.0</w:t>
      </w:r>
      <w:r w:rsidRPr="00913267">
        <w:rPr>
          <w:lang w:val="en-GB"/>
        </w:rPr>
        <w:t>%</w:t>
      </w:r>
      <w:r w:rsidR="004C6080">
        <w:rPr>
          <w:lang w:val="en-GB"/>
        </w:rPr>
        <w:t>. The denominator used</w:t>
      </w:r>
      <w:r w:rsidR="00B71A4D" w:rsidRPr="00913267">
        <w:rPr>
          <w:lang w:val="en-GB"/>
        </w:rPr>
        <w:t xml:space="preserve"> estimate</w:t>
      </w:r>
      <w:r w:rsidR="00755067">
        <w:rPr>
          <w:lang w:val="en-GB"/>
        </w:rPr>
        <w:t>s</w:t>
      </w:r>
      <w:r w:rsidR="00B71A4D" w:rsidRPr="00913267">
        <w:rPr>
          <w:lang w:val="en-GB"/>
        </w:rPr>
        <w:t xml:space="preserve"> </w:t>
      </w:r>
      <w:r w:rsidR="004C6080">
        <w:rPr>
          <w:lang w:val="en-GB"/>
        </w:rPr>
        <w:t xml:space="preserve">there are </w:t>
      </w:r>
      <w:r w:rsidR="00B71A4D" w:rsidRPr="00913267">
        <w:rPr>
          <w:lang w:val="en-GB"/>
        </w:rPr>
        <w:t>2,</w:t>
      </w:r>
      <w:r w:rsidR="004C6080">
        <w:rPr>
          <w:lang w:val="en-GB"/>
        </w:rPr>
        <w:t>5</w:t>
      </w:r>
      <w:r w:rsidR="00B71A4D" w:rsidRPr="00913267">
        <w:rPr>
          <w:lang w:val="en-GB"/>
        </w:rPr>
        <w:t>24</w:t>
      </w:r>
      <w:r w:rsidR="004C6080">
        <w:rPr>
          <w:lang w:val="en-GB"/>
        </w:rPr>
        <w:t xml:space="preserve"> </w:t>
      </w:r>
      <w:r w:rsidR="0017216C" w:rsidRPr="00913267">
        <w:rPr>
          <w:lang w:val="en-GB"/>
        </w:rPr>
        <w:t>p</w:t>
      </w:r>
      <w:r w:rsidR="004C6080">
        <w:rPr>
          <w:lang w:val="en-GB"/>
        </w:rPr>
        <w:t xml:space="preserve">atients currently living with dementia in Harrow. </w:t>
      </w:r>
      <w:r w:rsidR="00755067">
        <w:rPr>
          <w:lang w:val="en-GB"/>
        </w:rPr>
        <w:t xml:space="preserve">This forecast </w:t>
      </w:r>
      <w:r w:rsidR="004C6080">
        <w:rPr>
          <w:lang w:val="en-GB"/>
        </w:rPr>
        <w:t xml:space="preserve">suggests there are </w:t>
      </w:r>
      <w:r w:rsidRPr="00913267">
        <w:rPr>
          <w:lang w:val="en-GB"/>
        </w:rPr>
        <w:t xml:space="preserve">over </w:t>
      </w:r>
      <w:r w:rsidR="004C6080">
        <w:rPr>
          <w:lang w:val="en-GB"/>
        </w:rPr>
        <w:t>9</w:t>
      </w:r>
      <w:r w:rsidRPr="00913267">
        <w:rPr>
          <w:lang w:val="en-GB"/>
        </w:rPr>
        <w:t>35</w:t>
      </w:r>
      <w:r w:rsidR="0017216C" w:rsidRPr="00913267">
        <w:rPr>
          <w:lang w:val="en-GB"/>
        </w:rPr>
        <w:t xml:space="preserve"> people with</w:t>
      </w:r>
      <w:r w:rsidR="00C91763" w:rsidRPr="00913267">
        <w:rPr>
          <w:lang w:val="en-GB"/>
        </w:rPr>
        <w:t xml:space="preserve"> dementia in Harrow</w:t>
      </w:r>
      <w:r w:rsidRPr="00913267">
        <w:rPr>
          <w:lang w:val="en-GB"/>
        </w:rPr>
        <w:t xml:space="preserve"> who have not </w:t>
      </w:r>
      <w:r w:rsidR="004C6080">
        <w:rPr>
          <w:lang w:val="en-GB"/>
        </w:rPr>
        <w:t xml:space="preserve">yet </w:t>
      </w:r>
      <w:r w:rsidRPr="00913267">
        <w:rPr>
          <w:lang w:val="en-GB"/>
        </w:rPr>
        <w:t>been diagnosed</w:t>
      </w:r>
      <w:r w:rsidR="004C6080">
        <w:rPr>
          <w:lang w:val="en-GB"/>
        </w:rPr>
        <w:t>, or whose condition is not known to their GP. (</w:t>
      </w:r>
      <w:r w:rsidR="00C91763" w:rsidRPr="00913267">
        <w:rPr>
          <w:lang w:val="en-GB"/>
        </w:rPr>
        <w:t>Source</w:t>
      </w:r>
      <w:r w:rsidR="004C6080">
        <w:rPr>
          <w:lang w:val="en-GB"/>
        </w:rPr>
        <w:t xml:space="preserve">: </w:t>
      </w:r>
      <w:r w:rsidR="00C91763" w:rsidRPr="00913267">
        <w:rPr>
          <w:lang w:val="en-GB"/>
        </w:rPr>
        <w:t>NHSE July</w:t>
      </w:r>
      <w:r w:rsidR="004C6080">
        <w:rPr>
          <w:lang w:val="en-GB"/>
        </w:rPr>
        <w:t xml:space="preserve"> </w:t>
      </w:r>
      <w:r w:rsidR="00C91763" w:rsidRPr="00913267">
        <w:rPr>
          <w:lang w:val="en-GB"/>
        </w:rPr>
        <w:t>2018</w:t>
      </w:r>
      <w:r w:rsidR="004C6080">
        <w:rPr>
          <w:lang w:val="en-GB"/>
        </w:rPr>
        <w:t>).</w:t>
      </w:r>
    </w:p>
    <w:p w:rsidR="00F445A5" w:rsidRPr="00824C5E" w:rsidRDefault="00F445A5" w:rsidP="00824C5E">
      <w:pPr>
        <w:pStyle w:val="BodyText"/>
        <w:spacing w:line="276" w:lineRule="auto"/>
        <w:jc w:val="both"/>
        <w:rPr>
          <w:color w:val="000000" w:themeColor="text1"/>
          <w:lang w:val="en-GB"/>
        </w:rPr>
      </w:pPr>
    </w:p>
    <w:p w:rsidR="00913267" w:rsidRPr="00824C5E" w:rsidRDefault="00913267" w:rsidP="00824C5E">
      <w:pPr>
        <w:pStyle w:val="ListParagraph"/>
        <w:tabs>
          <w:tab w:val="left" w:pos="691"/>
        </w:tabs>
        <w:spacing w:line="276" w:lineRule="auto"/>
        <w:ind w:left="0" w:firstLine="0"/>
        <w:jc w:val="both"/>
        <w:rPr>
          <w:color w:val="000000" w:themeColor="text1"/>
          <w:sz w:val="24"/>
          <w:szCs w:val="24"/>
          <w:lang w:val="en-GB"/>
        </w:rPr>
      </w:pPr>
    </w:p>
    <w:p w:rsidR="00824C5E" w:rsidRPr="00824C5E" w:rsidRDefault="00824C5E" w:rsidP="00824C5E">
      <w:pPr>
        <w:pStyle w:val="BodyText"/>
        <w:spacing w:line="276" w:lineRule="auto"/>
        <w:jc w:val="both"/>
        <w:rPr>
          <w:color w:val="000000" w:themeColor="text1"/>
          <w:lang w:val="en-GB"/>
        </w:rPr>
      </w:pPr>
      <w:r w:rsidRPr="00824C5E">
        <w:rPr>
          <w:color w:val="000000" w:themeColor="text1"/>
          <w:u w:val="single"/>
          <w:lang w:val="en-GB"/>
        </w:rPr>
        <w:t>Estimated prevalence of late-onset dementia in Harrow by age</w:t>
      </w:r>
      <w:r w:rsidRPr="00824C5E">
        <w:rPr>
          <w:color w:val="000000" w:themeColor="text1"/>
          <w:spacing w:val="-36"/>
          <w:u w:val="single"/>
          <w:lang w:val="en-GB"/>
        </w:rPr>
        <w:t xml:space="preserve"> </w:t>
      </w:r>
      <w:r w:rsidRPr="00824C5E">
        <w:rPr>
          <w:color w:val="000000" w:themeColor="text1"/>
          <w:u w:val="single"/>
          <w:lang w:val="en-GB"/>
        </w:rPr>
        <w:t>group</w:t>
      </w:r>
    </w:p>
    <w:p w:rsidR="00824C5E" w:rsidRPr="00824C5E" w:rsidRDefault="00824C5E" w:rsidP="00824C5E">
      <w:pPr>
        <w:pStyle w:val="BodyText"/>
        <w:spacing w:line="276" w:lineRule="auto"/>
        <w:jc w:val="both"/>
        <w:rPr>
          <w:color w:val="000000" w:themeColor="text1"/>
          <w:lang w:val="en-GB"/>
        </w:rPr>
      </w:pPr>
    </w:p>
    <w:tbl>
      <w:tblPr>
        <w:tblW w:w="0" w:type="auto"/>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2987"/>
        <w:gridCol w:w="5953"/>
      </w:tblGrid>
      <w:tr w:rsidR="00824C5E" w:rsidRPr="00824C5E" w:rsidTr="00824C5E">
        <w:trPr>
          <w:trHeight w:val="551"/>
        </w:trPr>
        <w:tc>
          <w:tcPr>
            <w:tcW w:w="2987" w:type="dxa"/>
            <w:shd w:val="clear" w:color="auto" w:fill="DBE5F1" w:themeFill="accent1" w:themeFillTint="33"/>
            <w:vAlign w:val="center"/>
          </w:tcPr>
          <w:p w:rsidR="00824C5E" w:rsidRPr="00824C5E" w:rsidRDefault="00824C5E" w:rsidP="00824C5E">
            <w:pPr>
              <w:pStyle w:val="TableParagraph"/>
              <w:spacing w:line="276" w:lineRule="auto"/>
              <w:ind w:left="0"/>
              <w:jc w:val="center"/>
              <w:rPr>
                <w:b/>
                <w:color w:val="000000" w:themeColor="text1"/>
                <w:lang w:val="en-GB"/>
              </w:rPr>
            </w:pPr>
            <w:r w:rsidRPr="00824C5E">
              <w:rPr>
                <w:b/>
                <w:color w:val="000000" w:themeColor="text1"/>
                <w:lang w:val="en-GB"/>
              </w:rPr>
              <w:t>Age group</w:t>
            </w:r>
          </w:p>
        </w:tc>
        <w:tc>
          <w:tcPr>
            <w:tcW w:w="5953" w:type="dxa"/>
            <w:shd w:val="clear" w:color="auto" w:fill="DBE5F1" w:themeFill="accent1" w:themeFillTint="33"/>
            <w:vAlign w:val="center"/>
          </w:tcPr>
          <w:p w:rsidR="00824C5E" w:rsidRPr="00824C5E" w:rsidRDefault="00824C5E" w:rsidP="00824C5E">
            <w:pPr>
              <w:pStyle w:val="TableParagraph"/>
              <w:spacing w:line="276" w:lineRule="auto"/>
              <w:ind w:left="0"/>
              <w:jc w:val="center"/>
              <w:rPr>
                <w:b/>
                <w:color w:val="000000" w:themeColor="text1"/>
                <w:lang w:val="en-GB"/>
              </w:rPr>
            </w:pPr>
            <w:r w:rsidRPr="00824C5E">
              <w:rPr>
                <w:b/>
                <w:color w:val="000000" w:themeColor="text1"/>
                <w:lang w:val="en-GB"/>
              </w:rPr>
              <w:t>Estimated prevalence of dementia in Harrow</w:t>
            </w:r>
          </w:p>
        </w:tc>
      </w:tr>
      <w:tr w:rsidR="00824C5E" w:rsidRPr="00824C5E" w:rsidTr="00824C5E">
        <w:trPr>
          <w:trHeight w:val="275"/>
        </w:trPr>
        <w:tc>
          <w:tcPr>
            <w:tcW w:w="2987" w:type="dxa"/>
          </w:tcPr>
          <w:p w:rsidR="00824C5E" w:rsidRPr="00824C5E" w:rsidRDefault="00824C5E" w:rsidP="00824C5E">
            <w:pPr>
              <w:pStyle w:val="TableParagraph"/>
              <w:spacing w:line="276" w:lineRule="auto"/>
              <w:ind w:left="0"/>
              <w:jc w:val="center"/>
              <w:rPr>
                <w:color w:val="000000" w:themeColor="text1"/>
                <w:lang w:val="en-GB"/>
              </w:rPr>
            </w:pPr>
            <w:r w:rsidRPr="00824C5E">
              <w:rPr>
                <w:color w:val="000000" w:themeColor="text1"/>
                <w:lang w:val="en-GB"/>
              </w:rPr>
              <w:t>Over 65 years of age</w:t>
            </w:r>
          </w:p>
        </w:tc>
        <w:tc>
          <w:tcPr>
            <w:tcW w:w="5953" w:type="dxa"/>
          </w:tcPr>
          <w:p w:rsidR="00824C5E" w:rsidRPr="00824C5E" w:rsidRDefault="00824C5E" w:rsidP="00824C5E">
            <w:pPr>
              <w:pStyle w:val="TableParagraph"/>
              <w:spacing w:line="276" w:lineRule="auto"/>
              <w:ind w:left="720"/>
              <w:jc w:val="both"/>
              <w:rPr>
                <w:color w:val="000000" w:themeColor="text1"/>
                <w:lang w:val="en-GB"/>
              </w:rPr>
            </w:pPr>
            <w:r w:rsidRPr="00824C5E">
              <w:rPr>
                <w:color w:val="000000" w:themeColor="text1"/>
                <w:lang w:val="en-GB"/>
              </w:rPr>
              <w:t>1 in 14 people</w:t>
            </w:r>
          </w:p>
        </w:tc>
      </w:tr>
      <w:tr w:rsidR="00824C5E" w:rsidRPr="00824C5E" w:rsidTr="00824C5E">
        <w:trPr>
          <w:trHeight w:val="275"/>
        </w:trPr>
        <w:tc>
          <w:tcPr>
            <w:tcW w:w="2987" w:type="dxa"/>
          </w:tcPr>
          <w:p w:rsidR="00824C5E" w:rsidRPr="00824C5E" w:rsidRDefault="00824C5E" w:rsidP="00824C5E">
            <w:pPr>
              <w:pStyle w:val="TableParagraph"/>
              <w:spacing w:line="276" w:lineRule="auto"/>
              <w:ind w:left="0"/>
              <w:jc w:val="center"/>
              <w:rPr>
                <w:color w:val="000000" w:themeColor="text1"/>
                <w:lang w:val="en-GB"/>
              </w:rPr>
            </w:pPr>
            <w:r w:rsidRPr="00824C5E">
              <w:rPr>
                <w:color w:val="000000" w:themeColor="text1"/>
                <w:lang w:val="en-GB"/>
              </w:rPr>
              <w:t>Over 80 years of age</w:t>
            </w:r>
          </w:p>
        </w:tc>
        <w:tc>
          <w:tcPr>
            <w:tcW w:w="5953" w:type="dxa"/>
          </w:tcPr>
          <w:p w:rsidR="00824C5E" w:rsidRPr="00824C5E" w:rsidRDefault="00824C5E" w:rsidP="00824C5E">
            <w:pPr>
              <w:pStyle w:val="TableParagraph"/>
              <w:spacing w:line="276" w:lineRule="auto"/>
              <w:ind w:left="720"/>
              <w:jc w:val="both"/>
              <w:rPr>
                <w:color w:val="000000" w:themeColor="text1"/>
                <w:lang w:val="en-GB"/>
              </w:rPr>
            </w:pPr>
            <w:r w:rsidRPr="00824C5E">
              <w:rPr>
                <w:color w:val="000000" w:themeColor="text1"/>
                <w:lang w:val="en-GB"/>
              </w:rPr>
              <w:t>1 in 6 people</w:t>
            </w:r>
          </w:p>
        </w:tc>
      </w:tr>
      <w:tr w:rsidR="00824C5E" w:rsidRPr="00824C5E" w:rsidTr="00824C5E">
        <w:trPr>
          <w:trHeight w:val="278"/>
        </w:trPr>
        <w:tc>
          <w:tcPr>
            <w:tcW w:w="2987" w:type="dxa"/>
          </w:tcPr>
          <w:p w:rsidR="00824C5E" w:rsidRPr="00824C5E" w:rsidRDefault="00824C5E" w:rsidP="00824C5E">
            <w:pPr>
              <w:pStyle w:val="TableParagraph"/>
              <w:spacing w:line="276" w:lineRule="auto"/>
              <w:ind w:left="0"/>
              <w:jc w:val="center"/>
              <w:rPr>
                <w:color w:val="000000" w:themeColor="text1"/>
                <w:lang w:val="en-GB"/>
              </w:rPr>
            </w:pPr>
            <w:r w:rsidRPr="00824C5E">
              <w:rPr>
                <w:color w:val="000000" w:themeColor="text1"/>
                <w:lang w:val="en-GB"/>
              </w:rPr>
              <w:t>Over 90 years of age</w:t>
            </w:r>
          </w:p>
        </w:tc>
        <w:tc>
          <w:tcPr>
            <w:tcW w:w="5953" w:type="dxa"/>
          </w:tcPr>
          <w:p w:rsidR="00824C5E" w:rsidRPr="00824C5E" w:rsidRDefault="00824C5E" w:rsidP="00824C5E">
            <w:pPr>
              <w:pStyle w:val="TableParagraph"/>
              <w:spacing w:line="276" w:lineRule="auto"/>
              <w:ind w:left="720"/>
              <w:jc w:val="both"/>
              <w:rPr>
                <w:color w:val="000000" w:themeColor="text1"/>
                <w:lang w:val="en-GB"/>
              </w:rPr>
            </w:pPr>
            <w:r w:rsidRPr="00824C5E">
              <w:rPr>
                <w:color w:val="000000" w:themeColor="text1"/>
                <w:lang w:val="en-GB"/>
              </w:rPr>
              <w:t>nearly 1 in 3 people</w:t>
            </w:r>
          </w:p>
        </w:tc>
      </w:tr>
    </w:tbl>
    <w:p w:rsidR="00824C5E" w:rsidRDefault="00824C5E" w:rsidP="00824C5E">
      <w:pPr>
        <w:spacing w:line="276" w:lineRule="auto"/>
        <w:jc w:val="both"/>
        <w:rPr>
          <w:color w:val="000000" w:themeColor="text1"/>
          <w:sz w:val="16"/>
          <w:szCs w:val="16"/>
          <w:lang w:val="en-GB"/>
        </w:rPr>
      </w:pPr>
    </w:p>
    <w:p w:rsidR="00824C5E" w:rsidRPr="00824C5E" w:rsidRDefault="00824C5E" w:rsidP="00824C5E">
      <w:pPr>
        <w:spacing w:line="276" w:lineRule="auto"/>
        <w:jc w:val="both"/>
        <w:rPr>
          <w:color w:val="000000" w:themeColor="text1"/>
          <w:sz w:val="16"/>
          <w:szCs w:val="16"/>
          <w:lang w:val="en-GB"/>
        </w:rPr>
      </w:pPr>
      <w:r w:rsidRPr="00824C5E">
        <w:rPr>
          <w:color w:val="000000" w:themeColor="text1"/>
          <w:sz w:val="16"/>
          <w:szCs w:val="16"/>
          <w:lang w:val="en-GB"/>
        </w:rPr>
        <w:t>Source: Mental Health Observatory</w:t>
      </w:r>
    </w:p>
    <w:p w:rsidR="00F445A5" w:rsidRPr="00824C5E" w:rsidRDefault="00F445A5" w:rsidP="00824C5E">
      <w:pPr>
        <w:pStyle w:val="BodyText"/>
        <w:spacing w:line="276" w:lineRule="auto"/>
        <w:jc w:val="both"/>
        <w:rPr>
          <w:color w:val="000000" w:themeColor="text1"/>
          <w:lang w:val="en-GB"/>
        </w:rPr>
      </w:pPr>
    </w:p>
    <w:p w:rsidR="00824C5E" w:rsidRPr="00824C5E" w:rsidRDefault="00824C5E" w:rsidP="00824C5E">
      <w:pPr>
        <w:pStyle w:val="BodyText"/>
        <w:spacing w:line="276" w:lineRule="auto"/>
        <w:jc w:val="both"/>
        <w:rPr>
          <w:color w:val="000000" w:themeColor="text1"/>
          <w:lang w:val="en-GB"/>
        </w:rPr>
      </w:pPr>
    </w:p>
    <w:p w:rsidR="00824C5E" w:rsidRPr="00824C5E" w:rsidRDefault="00824C5E" w:rsidP="00824C5E">
      <w:pPr>
        <w:pStyle w:val="BodyText"/>
        <w:spacing w:line="276" w:lineRule="auto"/>
        <w:jc w:val="both"/>
        <w:rPr>
          <w:color w:val="000000" w:themeColor="text1"/>
          <w:u w:val="single"/>
          <w:lang w:val="en-GB"/>
        </w:rPr>
      </w:pPr>
      <w:r w:rsidRPr="00824C5E">
        <w:rPr>
          <w:color w:val="000000" w:themeColor="text1"/>
          <w:u w:val="single"/>
          <w:lang w:val="en-GB"/>
        </w:rPr>
        <w:t>Consensus of Estimate of population prevalence of late on-set of dementia</w:t>
      </w:r>
    </w:p>
    <w:p w:rsidR="00824C5E" w:rsidRPr="00824C5E" w:rsidRDefault="00824C5E" w:rsidP="00824C5E">
      <w:pPr>
        <w:pStyle w:val="BodyText"/>
        <w:spacing w:line="276" w:lineRule="auto"/>
        <w:jc w:val="both"/>
        <w:rPr>
          <w:color w:val="000000" w:themeColor="text1"/>
          <w:u w:val="single"/>
          <w:lang w:val="en-GB"/>
        </w:rPr>
      </w:pPr>
    </w:p>
    <w:tbl>
      <w:tblPr>
        <w:tblStyle w:val="TableGrid"/>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2"/>
        <w:gridCol w:w="2233"/>
        <w:gridCol w:w="2232"/>
        <w:gridCol w:w="2233"/>
      </w:tblGrid>
      <w:tr w:rsidR="00824C5E" w:rsidRPr="00824C5E" w:rsidTr="00824C5E">
        <w:trPr>
          <w:trHeight w:val="257"/>
        </w:trPr>
        <w:tc>
          <w:tcPr>
            <w:tcW w:w="2232" w:type="dxa"/>
            <w:shd w:val="clear" w:color="auto" w:fill="DBE5F1" w:themeFill="accent1" w:themeFillTint="33"/>
          </w:tcPr>
          <w:p w:rsidR="00824C5E" w:rsidRPr="00824C5E" w:rsidRDefault="00824C5E" w:rsidP="00824C5E">
            <w:pPr>
              <w:spacing w:line="276" w:lineRule="auto"/>
              <w:jc w:val="center"/>
              <w:rPr>
                <w:b/>
                <w:color w:val="000000" w:themeColor="text1"/>
                <w:szCs w:val="24"/>
                <w:lang w:val="en-GB"/>
              </w:rPr>
            </w:pPr>
            <w:r w:rsidRPr="00824C5E">
              <w:rPr>
                <w:b/>
                <w:color w:val="000000" w:themeColor="text1"/>
                <w:szCs w:val="24"/>
                <w:lang w:val="en-GB"/>
              </w:rPr>
              <w:t>Age in Years</w:t>
            </w:r>
          </w:p>
        </w:tc>
        <w:tc>
          <w:tcPr>
            <w:tcW w:w="2233" w:type="dxa"/>
            <w:shd w:val="clear" w:color="auto" w:fill="DBE5F1" w:themeFill="accent1" w:themeFillTint="33"/>
          </w:tcPr>
          <w:p w:rsidR="00824C5E" w:rsidRPr="00824C5E" w:rsidRDefault="00824C5E" w:rsidP="00824C5E">
            <w:pPr>
              <w:spacing w:line="276" w:lineRule="auto"/>
              <w:jc w:val="center"/>
              <w:rPr>
                <w:b/>
                <w:color w:val="000000" w:themeColor="text1"/>
                <w:szCs w:val="24"/>
                <w:lang w:val="en-GB"/>
              </w:rPr>
            </w:pPr>
            <w:r w:rsidRPr="00824C5E">
              <w:rPr>
                <w:b/>
                <w:color w:val="000000" w:themeColor="text1"/>
                <w:szCs w:val="24"/>
                <w:lang w:val="en-GB"/>
              </w:rPr>
              <w:t>Female</w:t>
            </w:r>
          </w:p>
        </w:tc>
        <w:tc>
          <w:tcPr>
            <w:tcW w:w="2232" w:type="dxa"/>
            <w:shd w:val="clear" w:color="auto" w:fill="DBE5F1" w:themeFill="accent1" w:themeFillTint="33"/>
          </w:tcPr>
          <w:p w:rsidR="00824C5E" w:rsidRPr="00824C5E" w:rsidRDefault="00824C5E" w:rsidP="00824C5E">
            <w:pPr>
              <w:spacing w:line="276" w:lineRule="auto"/>
              <w:jc w:val="center"/>
              <w:rPr>
                <w:b/>
                <w:color w:val="000000" w:themeColor="text1"/>
                <w:szCs w:val="24"/>
                <w:lang w:val="en-GB"/>
              </w:rPr>
            </w:pPr>
            <w:r w:rsidRPr="00824C5E">
              <w:rPr>
                <w:b/>
                <w:color w:val="000000" w:themeColor="text1"/>
                <w:szCs w:val="24"/>
                <w:lang w:val="en-GB"/>
              </w:rPr>
              <w:t>Male</w:t>
            </w:r>
          </w:p>
        </w:tc>
        <w:tc>
          <w:tcPr>
            <w:tcW w:w="2233" w:type="dxa"/>
            <w:shd w:val="clear" w:color="auto" w:fill="DBE5F1" w:themeFill="accent1" w:themeFillTint="33"/>
          </w:tcPr>
          <w:p w:rsidR="00824C5E" w:rsidRPr="00824C5E" w:rsidRDefault="00824C5E" w:rsidP="00824C5E">
            <w:pPr>
              <w:spacing w:line="276" w:lineRule="auto"/>
              <w:jc w:val="center"/>
              <w:rPr>
                <w:b/>
                <w:color w:val="000000" w:themeColor="text1"/>
                <w:szCs w:val="24"/>
                <w:lang w:val="en-GB"/>
              </w:rPr>
            </w:pPr>
            <w:r w:rsidRPr="00824C5E">
              <w:rPr>
                <w:b/>
                <w:color w:val="000000" w:themeColor="text1"/>
                <w:szCs w:val="24"/>
                <w:lang w:val="en-GB"/>
              </w:rPr>
              <w:t>Total</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65-69</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1.8%</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1.5%</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1.7%</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70-74</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3.0%</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3.1%</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3.0%</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75-79</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6.6%</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5.3%</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6.0%</w:t>
            </w:r>
          </w:p>
        </w:tc>
      </w:tr>
      <w:tr w:rsidR="00824C5E" w:rsidRPr="00824C5E" w:rsidTr="00824C5E">
        <w:trPr>
          <w:trHeight w:val="246"/>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80-84</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11.7%</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10.3%</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11.1%</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85-89</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20.2%</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15.1%</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18.3%</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90-94</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33.0%</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22.6%</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29.9%</w:t>
            </w:r>
          </w:p>
        </w:tc>
      </w:tr>
      <w:tr w:rsidR="00824C5E" w:rsidRPr="00824C5E" w:rsidTr="00824C5E">
        <w:trPr>
          <w:trHeight w:val="257"/>
        </w:trPr>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95+</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44.2%</w:t>
            </w:r>
          </w:p>
        </w:tc>
        <w:tc>
          <w:tcPr>
            <w:tcW w:w="2232"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28.8%</w:t>
            </w:r>
          </w:p>
        </w:tc>
        <w:tc>
          <w:tcPr>
            <w:tcW w:w="2233" w:type="dxa"/>
          </w:tcPr>
          <w:p w:rsidR="00824C5E" w:rsidRPr="00824C5E" w:rsidRDefault="00824C5E" w:rsidP="00824C5E">
            <w:pPr>
              <w:spacing w:line="276" w:lineRule="auto"/>
              <w:jc w:val="center"/>
              <w:rPr>
                <w:color w:val="000000" w:themeColor="text1"/>
                <w:szCs w:val="24"/>
                <w:lang w:val="en-GB"/>
              </w:rPr>
            </w:pPr>
            <w:r w:rsidRPr="00824C5E">
              <w:rPr>
                <w:color w:val="000000" w:themeColor="text1"/>
                <w:szCs w:val="24"/>
                <w:lang w:val="en-GB"/>
              </w:rPr>
              <w:t>41.1%</w:t>
            </w:r>
          </w:p>
        </w:tc>
      </w:tr>
    </w:tbl>
    <w:p w:rsidR="00824C5E" w:rsidRDefault="00824C5E" w:rsidP="00824C5E">
      <w:pPr>
        <w:pStyle w:val="BodyText"/>
        <w:spacing w:line="276" w:lineRule="auto"/>
        <w:jc w:val="both"/>
        <w:rPr>
          <w:color w:val="000000" w:themeColor="text1"/>
          <w:sz w:val="16"/>
          <w:szCs w:val="16"/>
          <w:lang w:val="en-GB"/>
        </w:rPr>
      </w:pPr>
      <w:r w:rsidRPr="00824C5E">
        <w:rPr>
          <w:color w:val="000000" w:themeColor="text1"/>
          <w:sz w:val="16"/>
          <w:szCs w:val="16"/>
          <w:lang w:val="en-GB"/>
        </w:rPr>
        <w:t xml:space="preserve">   </w:t>
      </w:r>
    </w:p>
    <w:p w:rsidR="00824C5E" w:rsidRPr="00824C5E" w:rsidRDefault="00824C5E" w:rsidP="00824C5E">
      <w:pPr>
        <w:pStyle w:val="BodyText"/>
        <w:spacing w:line="276" w:lineRule="auto"/>
        <w:jc w:val="both"/>
        <w:rPr>
          <w:color w:val="000000" w:themeColor="text1"/>
          <w:sz w:val="16"/>
          <w:szCs w:val="16"/>
          <w:lang w:val="en-GB"/>
        </w:rPr>
      </w:pPr>
      <w:r w:rsidRPr="00824C5E">
        <w:rPr>
          <w:color w:val="000000" w:themeColor="text1"/>
          <w:sz w:val="16"/>
          <w:szCs w:val="16"/>
          <w:lang w:val="en-GB"/>
        </w:rPr>
        <w:t>NHSE – May 2018</w:t>
      </w:r>
    </w:p>
    <w:p w:rsidR="00824C5E" w:rsidRPr="00824C5E" w:rsidRDefault="00824C5E" w:rsidP="00824C5E">
      <w:pPr>
        <w:pStyle w:val="BodyText"/>
        <w:spacing w:line="276" w:lineRule="auto"/>
        <w:jc w:val="both"/>
        <w:rPr>
          <w:color w:val="000000" w:themeColor="text1"/>
          <w:sz w:val="16"/>
          <w:szCs w:val="16"/>
          <w:lang w:val="en-GB"/>
        </w:rPr>
      </w:pPr>
    </w:p>
    <w:p w:rsidR="00824C5E" w:rsidRDefault="00824C5E" w:rsidP="00824C5E">
      <w:pPr>
        <w:pStyle w:val="ListParagraph"/>
        <w:tabs>
          <w:tab w:val="left" w:pos="691"/>
        </w:tabs>
        <w:spacing w:line="276" w:lineRule="auto"/>
        <w:ind w:left="0" w:firstLine="0"/>
        <w:jc w:val="both"/>
        <w:rPr>
          <w:b/>
          <w:color w:val="000000" w:themeColor="text1"/>
          <w:sz w:val="24"/>
          <w:lang w:val="en-GB"/>
        </w:rPr>
      </w:pPr>
    </w:p>
    <w:p w:rsidR="00824C5E" w:rsidRPr="00F20AE3" w:rsidRDefault="00824C5E" w:rsidP="00F27BD5">
      <w:pPr>
        <w:pStyle w:val="ListParagraph"/>
        <w:tabs>
          <w:tab w:val="left" w:pos="691"/>
        </w:tabs>
        <w:spacing w:line="276" w:lineRule="auto"/>
        <w:ind w:left="0" w:firstLine="0"/>
        <w:jc w:val="both"/>
        <w:rPr>
          <w:color w:val="000000" w:themeColor="text1"/>
          <w:sz w:val="24"/>
          <w:szCs w:val="24"/>
          <w:u w:val="single"/>
          <w:lang w:val="en-GB"/>
        </w:rPr>
      </w:pPr>
      <w:r w:rsidRPr="00F20AE3">
        <w:rPr>
          <w:color w:val="000000" w:themeColor="text1"/>
          <w:sz w:val="24"/>
          <w:szCs w:val="24"/>
          <w:u w:val="single"/>
          <w:lang w:val="en-GB"/>
        </w:rPr>
        <w:t>The prevalence of late-onset dementia is greater in females than</w:t>
      </w:r>
      <w:r w:rsidRPr="00F20AE3">
        <w:rPr>
          <w:color w:val="000000" w:themeColor="text1"/>
          <w:spacing w:val="-35"/>
          <w:sz w:val="24"/>
          <w:szCs w:val="24"/>
          <w:u w:val="single"/>
          <w:lang w:val="en-GB"/>
        </w:rPr>
        <w:t xml:space="preserve"> </w:t>
      </w:r>
      <w:r w:rsidRPr="00F20AE3">
        <w:rPr>
          <w:color w:val="000000" w:themeColor="text1"/>
          <w:sz w:val="24"/>
          <w:szCs w:val="24"/>
          <w:u w:val="single"/>
          <w:lang w:val="en-GB"/>
        </w:rPr>
        <w:t>in males</w:t>
      </w:r>
    </w:p>
    <w:p w:rsidR="00824C5E" w:rsidRPr="00F27BD5" w:rsidRDefault="00824C5E" w:rsidP="00F27BD5">
      <w:pPr>
        <w:pStyle w:val="BodyText"/>
        <w:spacing w:line="276" w:lineRule="auto"/>
        <w:jc w:val="both"/>
        <w:rPr>
          <w:b/>
          <w:color w:val="000000" w:themeColor="text1"/>
          <w:lang w:val="en-GB"/>
        </w:rPr>
      </w:pPr>
    </w:p>
    <w:p w:rsidR="00F27BD5" w:rsidRPr="00F27BD5" w:rsidRDefault="00824C5E" w:rsidP="00F27BD5">
      <w:pPr>
        <w:spacing w:line="276" w:lineRule="auto"/>
        <w:jc w:val="both"/>
        <w:rPr>
          <w:sz w:val="24"/>
          <w:szCs w:val="24"/>
        </w:rPr>
      </w:pPr>
      <w:r w:rsidRPr="00F27BD5">
        <w:rPr>
          <w:color w:val="000000" w:themeColor="text1"/>
          <w:sz w:val="24"/>
          <w:szCs w:val="24"/>
          <w:lang w:val="en-GB"/>
        </w:rPr>
        <w:t>The prevalence of dementia in females over the age of 65 in Harrow is estimated as 8.2% compared to 6.1% for males. This equates to a total of 1458 females with late onset dementia in Harrow compared to only 829 males. The higher prevalence rate in females can largely be explained by the fact that women have</w:t>
      </w:r>
      <w:r w:rsidR="009450F2" w:rsidRPr="00F27BD5">
        <w:rPr>
          <w:color w:val="000000" w:themeColor="text1"/>
          <w:sz w:val="24"/>
          <w:szCs w:val="24"/>
          <w:lang w:val="en-GB"/>
        </w:rPr>
        <w:t xml:space="preserve"> a longer life expectancy and so are more likely to live into their 80s and 90s, when dementia is most prevalent. However, even allowing for age, Alzheimer’s disease is thought to be slightly more common in females than in males. One of the main reasons for the greater prevalence of dementia among women is the longer life expectancy of women (</w:t>
      </w:r>
      <w:r w:rsidR="00F27BD5" w:rsidRPr="00F27BD5">
        <w:rPr>
          <w:sz w:val="24"/>
          <w:szCs w:val="24"/>
        </w:rPr>
        <w:t xml:space="preserve">Alzheimer’s Research UK / Dementia Statistic Hub </w:t>
      </w:r>
      <w:r w:rsidR="00F27BD5" w:rsidRPr="00F27BD5">
        <w:rPr>
          <w:b/>
          <w:sz w:val="24"/>
          <w:szCs w:val="24"/>
        </w:rPr>
        <w:t>July 2018</w:t>
      </w:r>
      <w:r w:rsidR="00F27BD5" w:rsidRPr="00F27BD5">
        <w:rPr>
          <w:sz w:val="24"/>
          <w:szCs w:val="24"/>
        </w:rPr>
        <w:t>)</w:t>
      </w:r>
    </w:p>
    <w:p w:rsidR="009450F2" w:rsidRPr="00F27BD5" w:rsidRDefault="009450F2" w:rsidP="00F27BD5">
      <w:pPr>
        <w:pStyle w:val="BodyText"/>
        <w:spacing w:line="276" w:lineRule="auto"/>
        <w:jc w:val="both"/>
        <w:rPr>
          <w:color w:val="000000" w:themeColor="text1"/>
          <w:lang w:val="en-GB"/>
        </w:rPr>
      </w:pPr>
    </w:p>
    <w:p w:rsidR="009450F2" w:rsidRPr="00F27BD5" w:rsidRDefault="009450F2" w:rsidP="00F27BD5">
      <w:pPr>
        <w:pStyle w:val="BodyText"/>
        <w:spacing w:line="276" w:lineRule="auto"/>
        <w:jc w:val="both"/>
        <w:rPr>
          <w:color w:val="000000" w:themeColor="text1"/>
          <w:lang w:val="en-GB"/>
        </w:rPr>
      </w:pPr>
    </w:p>
    <w:p w:rsidR="00F445A5" w:rsidRPr="002F6DA2" w:rsidRDefault="0017216C" w:rsidP="00F27BD5">
      <w:pPr>
        <w:pStyle w:val="ListParagraph"/>
        <w:tabs>
          <w:tab w:val="left" w:pos="688"/>
        </w:tabs>
        <w:spacing w:line="276" w:lineRule="auto"/>
        <w:ind w:left="0" w:firstLine="0"/>
        <w:jc w:val="both"/>
        <w:rPr>
          <w:sz w:val="24"/>
          <w:szCs w:val="24"/>
          <w:u w:val="single"/>
          <w:lang w:val="en-GB"/>
        </w:rPr>
      </w:pPr>
      <w:r w:rsidRPr="002F6DA2">
        <w:rPr>
          <w:sz w:val="24"/>
          <w:szCs w:val="24"/>
          <w:u w:val="single"/>
          <w:lang w:val="en-GB"/>
        </w:rPr>
        <w:t>Prevalence of early-onset</w:t>
      </w:r>
      <w:r w:rsidRPr="002F6DA2">
        <w:rPr>
          <w:spacing w:val="-4"/>
          <w:sz w:val="24"/>
          <w:szCs w:val="24"/>
          <w:u w:val="single"/>
          <w:lang w:val="en-GB"/>
        </w:rPr>
        <w:t xml:space="preserve"> </w:t>
      </w:r>
      <w:r w:rsidRPr="002F6DA2">
        <w:rPr>
          <w:sz w:val="24"/>
          <w:szCs w:val="24"/>
          <w:u w:val="single"/>
          <w:lang w:val="en-GB"/>
        </w:rPr>
        <w:t>dementia</w:t>
      </w:r>
    </w:p>
    <w:p w:rsidR="00F445A5" w:rsidRPr="002F6DA2" w:rsidRDefault="00F445A5" w:rsidP="00F27BD5">
      <w:pPr>
        <w:pStyle w:val="BodyText"/>
        <w:spacing w:line="276" w:lineRule="auto"/>
        <w:jc w:val="both"/>
        <w:rPr>
          <w:lang w:val="en-GB"/>
        </w:rPr>
      </w:pPr>
    </w:p>
    <w:p w:rsidR="008623F9" w:rsidRPr="002F6DA2" w:rsidRDefault="008623F9" w:rsidP="00913267">
      <w:pPr>
        <w:pStyle w:val="BodyText"/>
        <w:tabs>
          <w:tab w:val="left" w:pos="2929"/>
        </w:tabs>
        <w:spacing w:line="276" w:lineRule="auto"/>
        <w:jc w:val="both"/>
        <w:rPr>
          <w:lang w:val="en-GB"/>
        </w:rPr>
      </w:pPr>
      <w:r w:rsidRPr="002F6DA2">
        <w:rPr>
          <w:lang w:val="en-GB"/>
        </w:rPr>
        <w:t>In early-onset dementia, symptoms start below the age of 65.</w:t>
      </w:r>
      <w:r w:rsidR="001D4A61">
        <w:rPr>
          <w:lang w:val="en-GB"/>
        </w:rPr>
        <w:t xml:space="preserve"> </w:t>
      </w:r>
      <w:r w:rsidRPr="002F6DA2">
        <w:rPr>
          <w:lang w:val="en-GB"/>
        </w:rPr>
        <w:t xml:space="preserve">Dementias that affect younger people is said to be rare and difficult to recognise.  People are likely to be very reluctant to accept there is anything wrong when they are otherwise fit and well and they may refuse to be diagnosed as a consequence. It is estimated that there are 42,325 people in the UK who have been diagnosed with early-onset </w:t>
      </w:r>
      <w:r w:rsidR="00934642" w:rsidRPr="002F6DA2">
        <w:rPr>
          <w:lang w:val="en-GB"/>
        </w:rPr>
        <w:t>dementia. They</w:t>
      </w:r>
      <w:r w:rsidRPr="002F6DA2">
        <w:rPr>
          <w:lang w:val="en-GB"/>
        </w:rPr>
        <w:t xml:space="preserve"> represent around 5% of the 850,000 people with dementia.  </w:t>
      </w:r>
    </w:p>
    <w:p w:rsidR="008623F9" w:rsidRPr="002F6DA2" w:rsidRDefault="006842BA" w:rsidP="00913267">
      <w:pPr>
        <w:pStyle w:val="BodyText"/>
        <w:tabs>
          <w:tab w:val="left" w:pos="2929"/>
        </w:tabs>
        <w:spacing w:line="276" w:lineRule="auto"/>
        <w:jc w:val="both"/>
        <w:rPr>
          <w:lang w:val="en-GB"/>
        </w:rPr>
      </w:pPr>
      <w:r w:rsidRPr="002F6DA2">
        <w:rPr>
          <w:lang w:val="en-GB"/>
        </w:rPr>
        <w:t xml:space="preserve"> </w:t>
      </w:r>
    </w:p>
    <w:p w:rsidR="008623F9" w:rsidRPr="002F6DA2" w:rsidRDefault="008623F9" w:rsidP="00913267">
      <w:pPr>
        <w:pStyle w:val="BodyText"/>
        <w:tabs>
          <w:tab w:val="left" w:pos="2929"/>
        </w:tabs>
        <w:spacing w:line="276" w:lineRule="auto"/>
        <w:jc w:val="both"/>
        <w:rPr>
          <w:lang w:val="en-GB"/>
        </w:rPr>
      </w:pPr>
      <w:r w:rsidRPr="002F6DA2">
        <w:rPr>
          <w:lang w:val="en-GB"/>
        </w:rPr>
        <w:t>Prevalence rates for early-onset dementia in black and minority ethnic groups are higher than for the population as a whole.  People from BAME backgrounds are less likely to receive a diagnosis or support, this is due to</w:t>
      </w:r>
      <w:r w:rsidR="00934642" w:rsidRPr="002F6DA2">
        <w:rPr>
          <w:lang w:val="en-GB"/>
        </w:rPr>
        <w:t xml:space="preserve"> some</w:t>
      </w:r>
      <w:r w:rsidRPr="002F6DA2">
        <w:rPr>
          <w:lang w:val="en-GB"/>
        </w:rPr>
        <w:t xml:space="preserve"> cultural belief and the stigma associated with dementia</w:t>
      </w:r>
      <w:r w:rsidR="001D4A61">
        <w:rPr>
          <w:lang w:val="en-GB"/>
        </w:rPr>
        <w:t>.</w:t>
      </w:r>
    </w:p>
    <w:p w:rsidR="009E44D4" w:rsidRPr="002F6DA2" w:rsidRDefault="009E44D4" w:rsidP="00913267">
      <w:pPr>
        <w:pStyle w:val="BodyText"/>
        <w:tabs>
          <w:tab w:val="left" w:pos="2929"/>
        </w:tabs>
        <w:spacing w:line="276" w:lineRule="auto"/>
        <w:jc w:val="both"/>
        <w:rPr>
          <w:lang w:val="en-GB"/>
        </w:rPr>
      </w:pPr>
    </w:p>
    <w:p w:rsidR="008623F9" w:rsidRPr="002F6DA2" w:rsidRDefault="008623F9" w:rsidP="00913267">
      <w:pPr>
        <w:pStyle w:val="BodyText"/>
        <w:tabs>
          <w:tab w:val="left" w:pos="2929"/>
        </w:tabs>
        <w:spacing w:line="276" w:lineRule="auto"/>
        <w:jc w:val="both"/>
        <w:rPr>
          <w:lang w:val="en-GB"/>
        </w:rPr>
      </w:pPr>
      <w:r w:rsidRPr="002F6DA2">
        <w:rPr>
          <w:lang w:val="en-GB"/>
        </w:rPr>
        <w:t>Studies have shown that people with a learning disability are at greater risk of developing dementia at a younger age and that one in ten people with a learning disability develop early-onset Alzheimer's disease between the ages of 50 to 65.</w:t>
      </w:r>
    </w:p>
    <w:p w:rsidR="001D4A61" w:rsidRDefault="001D4A61" w:rsidP="00913267">
      <w:pPr>
        <w:pStyle w:val="BodyText"/>
        <w:tabs>
          <w:tab w:val="left" w:pos="2929"/>
        </w:tabs>
        <w:spacing w:line="276" w:lineRule="auto"/>
        <w:jc w:val="both"/>
        <w:rPr>
          <w:lang w:val="en-GB"/>
        </w:rPr>
      </w:pPr>
    </w:p>
    <w:p w:rsidR="008623F9" w:rsidRPr="002F6DA2" w:rsidRDefault="008623F9" w:rsidP="00913267">
      <w:pPr>
        <w:pStyle w:val="BodyText"/>
        <w:tabs>
          <w:tab w:val="left" w:pos="2929"/>
        </w:tabs>
        <w:spacing w:line="276" w:lineRule="auto"/>
        <w:jc w:val="both"/>
        <w:rPr>
          <w:lang w:val="en-GB"/>
        </w:rPr>
      </w:pPr>
      <w:r w:rsidRPr="002F6DA2">
        <w:rPr>
          <w:lang w:val="en-GB"/>
        </w:rPr>
        <w:t>One in ten aged 40-49 and one in three people with Down's syndrome wil</w:t>
      </w:r>
      <w:r w:rsidR="001D4A61">
        <w:rPr>
          <w:lang w:val="en-GB"/>
        </w:rPr>
        <w:t>l have Alzheimer's in their 50s (</w:t>
      </w:r>
      <w:r w:rsidRPr="002F6DA2">
        <w:rPr>
          <w:lang w:val="en-GB"/>
        </w:rPr>
        <w:t xml:space="preserve">Source -Dementia UK, 2nd edition </w:t>
      </w:r>
      <w:r w:rsidRPr="001D4A61">
        <w:rPr>
          <w:b/>
          <w:lang w:val="en-GB"/>
        </w:rPr>
        <w:t>2014</w:t>
      </w:r>
      <w:r w:rsidRPr="002F6DA2">
        <w:rPr>
          <w:lang w:val="en-GB"/>
        </w:rPr>
        <w:t>, Alzheimer’s</w:t>
      </w:r>
      <w:r w:rsidR="00934642" w:rsidRPr="002F6DA2">
        <w:rPr>
          <w:lang w:val="en-GB"/>
        </w:rPr>
        <w:t xml:space="preserve">; </w:t>
      </w:r>
      <w:r w:rsidRPr="002F6DA2">
        <w:rPr>
          <w:lang w:val="en-GB"/>
        </w:rPr>
        <w:t>Young Dementia UK</w:t>
      </w:r>
      <w:r w:rsidR="001D4A61">
        <w:rPr>
          <w:lang w:val="en-GB"/>
        </w:rPr>
        <w:t>).</w:t>
      </w:r>
    </w:p>
    <w:p w:rsidR="008623F9" w:rsidRPr="001F0A67" w:rsidRDefault="008623F9" w:rsidP="00913267">
      <w:pPr>
        <w:pStyle w:val="BodyText"/>
        <w:tabs>
          <w:tab w:val="left" w:pos="2929"/>
        </w:tabs>
        <w:spacing w:line="276" w:lineRule="auto"/>
        <w:jc w:val="both"/>
        <w:rPr>
          <w:color w:val="00B050"/>
          <w:highlight w:val="yellow"/>
          <w:lang w:val="en-GB"/>
        </w:rPr>
      </w:pPr>
    </w:p>
    <w:p w:rsidR="00F445A5" w:rsidRPr="001D4A61" w:rsidRDefault="0017216C" w:rsidP="00913267">
      <w:pPr>
        <w:pStyle w:val="ListParagraph"/>
        <w:tabs>
          <w:tab w:val="left" w:pos="691"/>
        </w:tabs>
        <w:spacing w:line="276" w:lineRule="auto"/>
        <w:ind w:left="0" w:firstLine="0"/>
        <w:jc w:val="both"/>
        <w:rPr>
          <w:sz w:val="24"/>
          <w:szCs w:val="24"/>
          <w:u w:val="single"/>
          <w:lang w:val="en-GB"/>
        </w:rPr>
      </w:pPr>
      <w:r w:rsidRPr="001D4A61">
        <w:rPr>
          <w:sz w:val="24"/>
          <w:szCs w:val="24"/>
          <w:u w:val="single"/>
          <w:lang w:val="en-GB"/>
        </w:rPr>
        <w:t>Dementia and Ethnicity in</w:t>
      </w:r>
      <w:r w:rsidRPr="001D4A61">
        <w:rPr>
          <w:spacing w:val="-8"/>
          <w:sz w:val="24"/>
          <w:szCs w:val="24"/>
          <w:u w:val="single"/>
          <w:lang w:val="en-GB"/>
        </w:rPr>
        <w:t xml:space="preserve"> </w:t>
      </w:r>
      <w:r w:rsidRPr="001D4A61">
        <w:rPr>
          <w:sz w:val="24"/>
          <w:szCs w:val="24"/>
          <w:u w:val="single"/>
          <w:lang w:val="en-GB"/>
        </w:rPr>
        <w:t>Harrow</w:t>
      </w:r>
    </w:p>
    <w:p w:rsidR="00934642" w:rsidRPr="001D4A61" w:rsidRDefault="00934642" w:rsidP="00913267">
      <w:pPr>
        <w:pStyle w:val="ListParagraph"/>
        <w:tabs>
          <w:tab w:val="left" w:pos="691"/>
        </w:tabs>
        <w:spacing w:line="276" w:lineRule="auto"/>
        <w:ind w:left="0" w:firstLine="0"/>
        <w:jc w:val="both"/>
        <w:rPr>
          <w:b/>
          <w:sz w:val="24"/>
          <w:szCs w:val="24"/>
          <w:lang w:val="en-GB"/>
        </w:rPr>
      </w:pPr>
    </w:p>
    <w:p w:rsidR="001D4A61" w:rsidRDefault="00934642" w:rsidP="00913267">
      <w:pPr>
        <w:pStyle w:val="ListParagraph"/>
        <w:tabs>
          <w:tab w:val="left" w:pos="691"/>
        </w:tabs>
        <w:spacing w:line="276" w:lineRule="auto"/>
        <w:ind w:left="0" w:firstLine="0"/>
        <w:jc w:val="both"/>
        <w:rPr>
          <w:sz w:val="24"/>
          <w:szCs w:val="24"/>
          <w:lang w:val="en-GB"/>
        </w:rPr>
      </w:pPr>
      <w:r w:rsidRPr="001D4A61">
        <w:rPr>
          <w:sz w:val="24"/>
          <w:szCs w:val="24"/>
          <w:lang w:val="en-GB"/>
        </w:rPr>
        <w:t>Harrow</w:t>
      </w:r>
      <w:r w:rsidR="001D4A61">
        <w:rPr>
          <w:sz w:val="24"/>
          <w:szCs w:val="24"/>
          <w:lang w:val="en-GB"/>
        </w:rPr>
        <w:t xml:space="preserve"> has</w:t>
      </w:r>
      <w:r w:rsidRPr="001D4A61">
        <w:rPr>
          <w:sz w:val="24"/>
          <w:szCs w:val="24"/>
          <w:lang w:val="en-GB"/>
        </w:rPr>
        <w:t xml:space="preserve"> one of the most diverse</w:t>
      </w:r>
      <w:r w:rsidR="001D4A61">
        <w:rPr>
          <w:sz w:val="24"/>
          <w:szCs w:val="24"/>
          <w:lang w:val="en-GB"/>
        </w:rPr>
        <w:t xml:space="preserve"> population</w:t>
      </w:r>
      <w:r w:rsidR="001D4A61" w:rsidRPr="001D4A61">
        <w:rPr>
          <w:sz w:val="24"/>
          <w:szCs w:val="24"/>
          <w:lang w:val="en-GB"/>
        </w:rPr>
        <w:t>s</w:t>
      </w:r>
      <w:r w:rsidRPr="001D4A61">
        <w:rPr>
          <w:sz w:val="24"/>
          <w:szCs w:val="24"/>
          <w:lang w:val="en-GB"/>
        </w:rPr>
        <w:t xml:space="preserve"> nationally</w:t>
      </w:r>
      <w:r w:rsidR="001D4A61">
        <w:rPr>
          <w:sz w:val="24"/>
          <w:szCs w:val="24"/>
          <w:lang w:val="en-GB"/>
        </w:rPr>
        <w:t xml:space="preserve">. </w:t>
      </w:r>
    </w:p>
    <w:p w:rsidR="00DC3F15" w:rsidRDefault="00DC3F15" w:rsidP="00913267">
      <w:pPr>
        <w:pStyle w:val="ListParagraph"/>
        <w:tabs>
          <w:tab w:val="left" w:pos="691"/>
        </w:tabs>
        <w:spacing w:line="276" w:lineRule="auto"/>
        <w:ind w:left="0" w:firstLine="0"/>
        <w:jc w:val="both"/>
        <w:rPr>
          <w:sz w:val="24"/>
          <w:szCs w:val="24"/>
          <w:lang w:val="en-GB"/>
        </w:rPr>
      </w:pPr>
    </w:p>
    <w:p w:rsidR="00DC3F15" w:rsidRPr="00DC3F15" w:rsidRDefault="00DC3F15" w:rsidP="00DC3F15">
      <w:pPr>
        <w:rPr>
          <w:sz w:val="20"/>
        </w:rPr>
      </w:pPr>
      <w:r w:rsidRPr="00DC3F15">
        <w:rPr>
          <w:sz w:val="20"/>
        </w:rPr>
        <w:t>Population estimates for 2017 from ONS (based on the 2011 census). This is resident population.</w:t>
      </w:r>
    </w:p>
    <w:tbl>
      <w:tblPr>
        <w:tblW w:w="9371" w:type="dxa"/>
        <w:jc w:val="center"/>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4"/>
        <w:gridCol w:w="1874"/>
        <w:gridCol w:w="1874"/>
        <w:gridCol w:w="1874"/>
        <w:gridCol w:w="1875"/>
      </w:tblGrid>
      <w:tr w:rsidR="001D4A61" w:rsidRPr="001D4A61" w:rsidTr="001D4A61">
        <w:trPr>
          <w:trHeight w:val="456"/>
          <w:jc w:val="center"/>
        </w:trPr>
        <w:tc>
          <w:tcPr>
            <w:tcW w:w="1874" w:type="dxa"/>
            <w:shd w:val="clear" w:color="auto" w:fill="DBE5F1" w:themeFill="accent1" w:themeFillTint="33"/>
            <w:vAlign w:val="center"/>
            <w:hideMark/>
          </w:tcPr>
          <w:p w:rsidR="001D4A61" w:rsidRPr="001D4A61" w:rsidRDefault="001D4A61" w:rsidP="001D4A61">
            <w:pPr>
              <w:widowControl/>
              <w:autoSpaceDE/>
              <w:autoSpaceDN/>
              <w:jc w:val="center"/>
              <w:rPr>
                <w:rFonts w:eastAsia="Times New Roman"/>
                <w:b/>
                <w:color w:val="000000"/>
                <w:sz w:val="18"/>
                <w:szCs w:val="18"/>
                <w:lang w:val="en-GB" w:eastAsia="en-GB"/>
              </w:rPr>
            </w:pPr>
            <w:r w:rsidRPr="001D4A61">
              <w:rPr>
                <w:rFonts w:eastAsia="Times New Roman"/>
                <w:b/>
                <w:color w:val="000000"/>
                <w:sz w:val="18"/>
                <w:szCs w:val="18"/>
                <w:lang w:val="en-GB" w:eastAsia="en-GB"/>
              </w:rPr>
              <w:t>White</w:t>
            </w:r>
          </w:p>
        </w:tc>
        <w:tc>
          <w:tcPr>
            <w:tcW w:w="1874" w:type="dxa"/>
            <w:shd w:val="clear" w:color="auto" w:fill="DBE5F1" w:themeFill="accent1" w:themeFillTint="33"/>
            <w:vAlign w:val="center"/>
            <w:hideMark/>
          </w:tcPr>
          <w:p w:rsidR="001D4A61" w:rsidRPr="001D4A61" w:rsidRDefault="001D4A61" w:rsidP="001D4A61">
            <w:pPr>
              <w:widowControl/>
              <w:autoSpaceDE/>
              <w:autoSpaceDN/>
              <w:jc w:val="center"/>
              <w:rPr>
                <w:rFonts w:eastAsia="Times New Roman"/>
                <w:b/>
                <w:color w:val="000000"/>
                <w:sz w:val="18"/>
                <w:szCs w:val="18"/>
                <w:lang w:val="en-GB" w:eastAsia="en-GB"/>
              </w:rPr>
            </w:pPr>
            <w:r w:rsidRPr="001D4A61">
              <w:rPr>
                <w:rFonts w:eastAsia="Times New Roman"/>
                <w:b/>
                <w:color w:val="000000"/>
                <w:sz w:val="18"/>
                <w:szCs w:val="18"/>
                <w:lang w:val="en-GB" w:eastAsia="en-GB"/>
              </w:rPr>
              <w:t>Asian</w:t>
            </w:r>
          </w:p>
        </w:tc>
        <w:tc>
          <w:tcPr>
            <w:tcW w:w="1874" w:type="dxa"/>
            <w:shd w:val="clear" w:color="auto" w:fill="DBE5F1" w:themeFill="accent1" w:themeFillTint="33"/>
            <w:vAlign w:val="center"/>
            <w:hideMark/>
          </w:tcPr>
          <w:p w:rsidR="001D4A61" w:rsidRPr="001D4A61" w:rsidRDefault="001D4A61" w:rsidP="001D4A61">
            <w:pPr>
              <w:widowControl/>
              <w:autoSpaceDE/>
              <w:autoSpaceDN/>
              <w:jc w:val="center"/>
              <w:rPr>
                <w:rFonts w:eastAsia="Times New Roman"/>
                <w:b/>
                <w:color w:val="000000"/>
                <w:sz w:val="18"/>
                <w:szCs w:val="18"/>
                <w:lang w:val="en-GB" w:eastAsia="en-GB"/>
              </w:rPr>
            </w:pPr>
            <w:r w:rsidRPr="001D4A61">
              <w:rPr>
                <w:rFonts w:eastAsia="Times New Roman"/>
                <w:b/>
                <w:color w:val="000000"/>
                <w:sz w:val="18"/>
                <w:szCs w:val="18"/>
                <w:lang w:val="en-GB" w:eastAsia="en-GB"/>
              </w:rPr>
              <w:t>Black</w:t>
            </w:r>
          </w:p>
        </w:tc>
        <w:tc>
          <w:tcPr>
            <w:tcW w:w="1874" w:type="dxa"/>
            <w:shd w:val="clear" w:color="auto" w:fill="DBE5F1" w:themeFill="accent1" w:themeFillTint="33"/>
            <w:vAlign w:val="center"/>
            <w:hideMark/>
          </w:tcPr>
          <w:p w:rsidR="001D4A61" w:rsidRPr="001D4A61" w:rsidRDefault="001D4A61" w:rsidP="001D4A61">
            <w:pPr>
              <w:widowControl/>
              <w:autoSpaceDE/>
              <w:autoSpaceDN/>
              <w:jc w:val="center"/>
              <w:rPr>
                <w:rFonts w:eastAsia="Times New Roman"/>
                <w:b/>
                <w:color w:val="000000"/>
                <w:sz w:val="18"/>
                <w:szCs w:val="18"/>
                <w:lang w:val="en-GB" w:eastAsia="en-GB"/>
              </w:rPr>
            </w:pPr>
            <w:r w:rsidRPr="001D4A61">
              <w:rPr>
                <w:rFonts w:eastAsia="Times New Roman"/>
                <w:b/>
                <w:color w:val="000000"/>
                <w:sz w:val="18"/>
                <w:szCs w:val="18"/>
                <w:lang w:val="en-GB" w:eastAsia="en-GB"/>
              </w:rPr>
              <w:t>Mixed/ Other</w:t>
            </w:r>
          </w:p>
        </w:tc>
        <w:tc>
          <w:tcPr>
            <w:tcW w:w="1875" w:type="dxa"/>
            <w:shd w:val="clear" w:color="auto" w:fill="DBE5F1" w:themeFill="accent1" w:themeFillTint="33"/>
            <w:vAlign w:val="center"/>
            <w:hideMark/>
          </w:tcPr>
          <w:p w:rsidR="001D4A61" w:rsidRPr="001D4A61" w:rsidRDefault="001D4A61" w:rsidP="001D4A61">
            <w:pPr>
              <w:widowControl/>
              <w:autoSpaceDE/>
              <w:autoSpaceDN/>
              <w:jc w:val="center"/>
              <w:rPr>
                <w:rFonts w:eastAsia="Times New Roman"/>
                <w:b/>
                <w:color w:val="000000"/>
                <w:sz w:val="18"/>
                <w:szCs w:val="18"/>
                <w:lang w:val="en-GB" w:eastAsia="en-GB"/>
              </w:rPr>
            </w:pPr>
            <w:r w:rsidRPr="001D4A61">
              <w:rPr>
                <w:rFonts w:eastAsia="Times New Roman"/>
                <w:b/>
                <w:color w:val="000000"/>
                <w:sz w:val="18"/>
                <w:szCs w:val="18"/>
                <w:lang w:val="en-GB" w:eastAsia="en-GB"/>
              </w:rPr>
              <w:t>Total</w:t>
            </w:r>
          </w:p>
        </w:tc>
      </w:tr>
      <w:tr w:rsidR="001D4A61" w:rsidRPr="001D4A61" w:rsidTr="001D4A61">
        <w:trPr>
          <w:trHeight w:val="288"/>
          <w:jc w:val="center"/>
        </w:trPr>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113,000</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105,000</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10,000</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25,000</w:t>
            </w:r>
          </w:p>
        </w:tc>
        <w:tc>
          <w:tcPr>
            <w:tcW w:w="1875"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252,000</w:t>
            </w:r>
          </w:p>
        </w:tc>
      </w:tr>
      <w:tr w:rsidR="001D4A61" w:rsidRPr="001D4A61" w:rsidTr="001D4A61">
        <w:trPr>
          <w:trHeight w:val="288"/>
          <w:jc w:val="center"/>
        </w:trPr>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45%</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42%</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4%</w:t>
            </w:r>
          </w:p>
        </w:tc>
        <w:tc>
          <w:tcPr>
            <w:tcW w:w="1874"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r w:rsidRPr="001D4A61">
              <w:rPr>
                <w:rFonts w:eastAsia="Times New Roman"/>
                <w:color w:val="000000"/>
                <w:sz w:val="18"/>
                <w:szCs w:val="18"/>
                <w:lang w:val="en-GB" w:eastAsia="en-GB"/>
              </w:rPr>
              <w:t>10%</w:t>
            </w:r>
          </w:p>
        </w:tc>
        <w:tc>
          <w:tcPr>
            <w:tcW w:w="1875" w:type="dxa"/>
            <w:shd w:val="clear" w:color="auto" w:fill="auto"/>
            <w:noWrap/>
            <w:vAlign w:val="center"/>
            <w:hideMark/>
          </w:tcPr>
          <w:p w:rsidR="001D4A61" w:rsidRPr="001D4A61" w:rsidRDefault="001D4A61" w:rsidP="001D4A61">
            <w:pPr>
              <w:widowControl/>
              <w:autoSpaceDE/>
              <w:autoSpaceDN/>
              <w:jc w:val="center"/>
              <w:rPr>
                <w:rFonts w:eastAsia="Times New Roman"/>
                <w:color w:val="000000"/>
                <w:sz w:val="18"/>
                <w:szCs w:val="18"/>
                <w:lang w:val="en-GB" w:eastAsia="en-GB"/>
              </w:rPr>
            </w:pPr>
          </w:p>
        </w:tc>
      </w:tr>
    </w:tbl>
    <w:p w:rsidR="00DC3F15" w:rsidRPr="00DC3F15" w:rsidRDefault="000725C2" w:rsidP="00DC3F15">
      <w:pPr>
        <w:rPr>
          <w:sz w:val="20"/>
        </w:rPr>
      </w:pPr>
      <w:hyperlink r:id="rId17" w:history="1">
        <w:r w:rsidR="00DC3F15" w:rsidRPr="00DC3F15">
          <w:rPr>
            <w:rStyle w:val="Hyperlink"/>
            <w:sz w:val="20"/>
          </w:rPr>
          <w:t>https://data.london.gov.uk/dataset/ethnic-groups-borough</w:t>
        </w:r>
      </w:hyperlink>
    </w:p>
    <w:p w:rsidR="00DC3F15" w:rsidRPr="00DC3F15" w:rsidRDefault="00DC3F15" w:rsidP="00DC3F15">
      <w:pPr>
        <w:rPr>
          <w:sz w:val="20"/>
        </w:rPr>
      </w:pPr>
      <w:r w:rsidRPr="00DC3F15">
        <w:rPr>
          <w:sz w:val="20"/>
        </w:rPr>
        <w:t xml:space="preserve">The number of people registered with Harrow GP practices aged 65 years or older: </w:t>
      </w:r>
      <w:r w:rsidRPr="00DC3F15">
        <w:rPr>
          <w:b/>
          <w:bCs/>
          <w:sz w:val="20"/>
        </w:rPr>
        <w:t>38,892 people.</w:t>
      </w:r>
    </w:p>
    <w:p w:rsidR="00DC3F15" w:rsidRPr="00DC3F15" w:rsidRDefault="00DC3F15" w:rsidP="00DC3F15">
      <w:pPr>
        <w:rPr>
          <w:sz w:val="20"/>
        </w:rPr>
      </w:pPr>
      <w:r w:rsidRPr="00DC3F15">
        <w:rPr>
          <w:sz w:val="20"/>
        </w:rPr>
        <w:t>(</w:t>
      </w:r>
      <w:r>
        <w:rPr>
          <w:sz w:val="20"/>
        </w:rPr>
        <w:t>P</w:t>
      </w:r>
      <w:r w:rsidRPr="00DC3F15">
        <w:rPr>
          <w:sz w:val="20"/>
        </w:rPr>
        <w:t>atient demographic services extracts for Sept 2018).</w:t>
      </w:r>
      <w:r>
        <w:rPr>
          <w:sz w:val="20"/>
        </w:rPr>
        <w:t xml:space="preserve"> </w:t>
      </w:r>
      <w:r w:rsidRPr="00DC3F15">
        <w:rPr>
          <w:sz w:val="20"/>
        </w:rPr>
        <w:t xml:space="preserve">This is </w:t>
      </w:r>
      <w:r w:rsidRPr="00DC3F15">
        <w:rPr>
          <w:b/>
          <w:sz w:val="20"/>
        </w:rPr>
        <w:t>GP</w:t>
      </w:r>
      <w:r>
        <w:rPr>
          <w:sz w:val="20"/>
        </w:rPr>
        <w:t xml:space="preserve"> </w:t>
      </w:r>
      <w:r w:rsidRPr="00DC3F15">
        <w:rPr>
          <w:b/>
          <w:bCs/>
          <w:sz w:val="20"/>
        </w:rPr>
        <w:t xml:space="preserve">registered </w:t>
      </w:r>
      <w:r w:rsidRPr="00DC3F15">
        <w:rPr>
          <w:sz w:val="20"/>
        </w:rPr>
        <w:t xml:space="preserve">population </w:t>
      </w:r>
      <w:r>
        <w:rPr>
          <w:sz w:val="20"/>
        </w:rPr>
        <w:t>no</w:t>
      </w:r>
      <w:r w:rsidRPr="00DC3F15">
        <w:rPr>
          <w:sz w:val="20"/>
        </w:rPr>
        <w:t>t comparable with the figures for ethnicity from ONS above.</w:t>
      </w:r>
    </w:p>
    <w:p w:rsidR="001D4A61" w:rsidRDefault="001D4A61" w:rsidP="00913267">
      <w:pPr>
        <w:pStyle w:val="ListParagraph"/>
        <w:tabs>
          <w:tab w:val="left" w:pos="691"/>
        </w:tabs>
        <w:spacing w:line="276" w:lineRule="auto"/>
        <w:ind w:left="0" w:firstLine="0"/>
        <w:jc w:val="both"/>
        <w:rPr>
          <w:sz w:val="24"/>
          <w:szCs w:val="24"/>
          <w:lang w:val="en-GB"/>
        </w:rPr>
      </w:pPr>
    </w:p>
    <w:p w:rsidR="00934642" w:rsidRDefault="00934642" w:rsidP="00913267">
      <w:pPr>
        <w:pStyle w:val="ListParagraph"/>
        <w:tabs>
          <w:tab w:val="left" w:pos="691"/>
        </w:tabs>
        <w:spacing w:line="276" w:lineRule="auto"/>
        <w:ind w:left="0" w:firstLine="0"/>
        <w:jc w:val="both"/>
        <w:rPr>
          <w:sz w:val="24"/>
          <w:szCs w:val="24"/>
          <w:lang w:val="en-GB"/>
        </w:rPr>
      </w:pPr>
      <w:r w:rsidRPr="001D4A61">
        <w:rPr>
          <w:sz w:val="24"/>
          <w:szCs w:val="24"/>
          <w:lang w:val="en-GB"/>
        </w:rPr>
        <w:t xml:space="preserve">The largest </w:t>
      </w:r>
      <w:r w:rsidR="001D4A61">
        <w:rPr>
          <w:sz w:val="24"/>
          <w:szCs w:val="24"/>
          <w:lang w:val="en-GB"/>
        </w:rPr>
        <w:t xml:space="preserve">BAME </w:t>
      </w:r>
      <w:r w:rsidRPr="001D4A61">
        <w:rPr>
          <w:sz w:val="24"/>
          <w:szCs w:val="24"/>
          <w:lang w:val="en-GB"/>
        </w:rPr>
        <w:t>group is of Indian ethnicity. Research has shown that the borough has the largest concentration of Sri Lankan Tamils in the UK as well as having the highest density of Gujarati Hindus in the UK</w:t>
      </w:r>
      <w:r w:rsidR="001D4A61">
        <w:rPr>
          <w:sz w:val="24"/>
          <w:szCs w:val="24"/>
          <w:lang w:val="en-GB"/>
        </w:rPr>
        <w:t xml:space="preserve">. </w:t>
      </w:r>
      <w:r w:rsidRPr="001D4A61">
        <w:rPr>
          <w:sz w:val="24"/>
          <w:szCs w:val="24"/>
          <w:lang w:val="en-GB"/>
        </w:rPr>
        <w:t>The borough is also ranked the 8th nationally for linguistic diversity in the Greater London Authority</w:t>
      </w:r>
      <w:r w:rsidR="001D4A61">
        <w:rPr>
          <w:sz w:val="24"/>
          <w:szCs w:val="24"/>
          <w:lang w:val="en-GB"/>
        </w:rPr>
        <w:t>.</w:t>
      </w:r>
    </w:p>
    <w:p w:rsidR="001D4A61" w:rsidRPr="001D4A61" w:rsidRDefault="001D4A61" w:rsidP="00913267">
      <w:pPr>
        <w:pStyle w:val="ListParagraph"/>
        <w:tabs>
          <w:tab w:val="left" w:pos="691"/>
        </w:tabs>
        <w:spacing w:line="276" w:lineRule="auto"/>
        <w:ind w:left="0" w:firstLine="0"/>
        <w:jc w:val="both"/>
        <w:rPr>
          <w:sz w:val="24"/>
          <w:szCs w:val="24"/>
          <w:lang w:val="en-GB"/>
        </w:rPr>
      </w:pPr>
    </w:p>
    <w:p w:rsidR="00934642" w:rsidRDefault="00934642" w:rsidP="00913267">
      <w:pPr>
        <w:pStyle w:val="ListParagraph"/>
        <w:tabs>
          <w:tab w:val="left" w:pos="691"/>
        </w:tabs>
        <w:spacing w:line="276" w:lineRule="auto"/>
        <w:ind w:left="0" w:firstLine="0"/>
        <w:jc w:val="both"/>
        <w:rPr>
          <w:sz w:val="24"/>
          <w:szCs w:val="24"/>
          <w:lang w:val="en-GB"/>
        </w:rPr>
      </w:pPr>
      <w:r w:rsidRPr="001D4A61">
        <w:rPr>
          <w:sz w:val="24"/>
          <w:szCs w:val="24"/>
          <w:lang w:val="en-GB"/>
        </w:rPr>
        <w:t>Life expectancy within the borough at 81.2 for men and 84.6 for women is better than that of England as a whole.</w:t>
      </w:r>
    </w:p>
    <w:p w:rsidR="00DC3F15" w:rsidRPr="001D4A61" w:rsidRDefault="00DC3F15" w:rsidP="00913267">
      <w:pPr>
        <w:pStyle w:val="ListParagraph"/>
        <w:tabs>
          <w:tab w:val="left" w:pos="691"/>
        </w:tabs>
        <w:spacing w:line="276" w:lineRule="auto"/>
        <w:ind w:left="0" w:firstLine="0"/>
        <w:jc w:val="both"/>
        <w:rPr>
          <w:sz w:val="24"/>
          <w:szCs w:val="24"/>
          <w:lang w:val="en-GB"/>
        </w:rPr>
      </w:pPr>
    </w:p>
    <w:p w:rsidR="00934642" w:rsidRPr="001D4A61" w:rsidRDefault="00934642" w:rsidP="00913267">
      <w:pPr>
        <w:pStyle w:val="ListParagraph"/>
        <w:tabs>
          <w:tab w:val="left" w:pos="691"/>
        </w:tabs>
        <w:spacing w:line="276" w:lineRule="auto"/>
        <w:ind w:left="0" w:firstLine="0"/>
        <w:jc w:val="both"/>
        <w:rPr>
          <w:sz w:val="24"/>
          <w:szCs w:val="24"/>
          <w:lang w:val="en-GB"/>
        </w:rPr>
      </w:pPr>
      <w:r w:rsidRPr="001D4A61">
        <w:rPr>
          <w:sz w:val="24"/>
          <w:szCs w:val="24"/>
          <w:lang w:val="en-GB"/>
        </w:rPr>
        <w:t>The population of those aged 65 and over is 37,701</w:t>
      </w:r>
      <w:r w:rsidR="001D4A61">
        <w:rPr>
          <w:sz w:val="24"/>
          <w:szCs w:val="24"/>
          <w:lang w:val="en-GB"/>
        </w:rPr>
        <w:t xml:space="preserve"> </w:t>
      </w:r>
      <w:r w:rsidRPr="001D4A61">
        <w:rPr>
          <w:sz w:val="24"/>
          <w:szCs w:val="24"/>
          <w:lang w:val="en-GB"/>
        </w:rPr>
        <w:t>equalling 15.2% of the total population.</w:t>
      </w:r>
    </w:p>
    <w:p w:rsidR="00934642" w:rsidRPr="001D4A61" w:rsidRDefault="00934642" w:rsidP="00913267">
      <w:pPr>
        <w:pStyle w:val="ListParagraph"/>
        <w:tabs>
          <w:tab w:val="left" w:pos="691"/>
        </w:tabs>
        <w:spacing w:line="276" w:lineRule="auto"/>
        <w:ind w:left="0" w:firstLine="0"/>
        <w:jc w:val="both"/>
        <w:rPr>
          <w:sz w:val="24"/>
          <w:szCs w:val="24"/>
          <w:lang w:val="en-GB"/>
        </w:rPr>
      </w:pPr>
    </w:p>
    <w:p w:rsidR="00934642" w:rsidRPr="001D4A61" w:rsidRDefault="00934642" w:rsidP="00913267">
      <w:pPr>
        <w:pStyle w:val="ListParagraph"/>
        <w:tabs>
          <w:tab w:val="left" w:pos="691"/>
        </w:tabs>
        <w:spacing w:line="276" w:lineRule="auto"/>
        <w:ind w:left="0" w:firstLine="0"/>
        <w:jc w:val="both"/>
        <w:rPr>
          <w:sz w:val="24"/>
          <w:szCs w:val="24"/>
          <w:lang w:val="en-GB"/>
        </w:rPr>
      </w:pPr>
      <w:r w:rsidRPr="001D4A61">
        <w:rPr>
          <w:sz w:val="24"/>
          <w:szCs w:val="24"/>
          <w:lang w:val="en-GB"/>
        </w:rPr>
        <w:t>Studies in South Asian communities in Britain have shown there is a sense of stigma and inadequate knowledge about dementia care. This poses a great problem with diagnosis. People tend to put of</w:t>
      </w:r>
      <w:r w:rsidR="00DF1158" w:rsidRPr="001D4A61">
        <w:rPr>
          <w:sz w:val="24"/>
          <w:szCs w:val="24"/>
          <w:lang w:val="en-GB"/>
        </w:rPr>
        <w:t>f going to get a diagnosis and this</w:t>
      </w:r>
      <w:r w:rsidRPr="001D4A61">
        <w:rPr>
          <w:sz w:val="24"/>
          <w:szCs w:val="24"/>
          <w:lang w:val="en-GB"/>
        </w:rPr>
        <w:t xml:space="preserve"> is a big challenge in Harrow.</w:t>
      </w:r>
    </w:p>
    <w:p w:rsidR="000418E1" w:rsidRPr="002C0411" w:rsidRDefault="000418E1" w:rsidP="002C0411">
      <w:pPr>
        <w:pStyle w:val="BodyText"/>
        <w:tabs>
          <w:tab w:val="left" w:pos="9356"/>
        </w:tabs>
        <w:spacing w:line="276" w:lineRule="auto"/>
        <w:ind w:right="6"/>
        <w:rPr>
          <w:color w:val="000000" w:themeColor="text1"/>
          <w:lang w:val="en-GB"/>
        </w:rPr>
      </w:pPr>
    </w:p>
    <w:p w:rsidR="000418E1" w:rsidRPr="002C0411" w:rsidRDefault="000418E1" w:rsidP="002C0411">
      <w:pPr>
        <w:pStyle w:val="BodyText"/>
        <w:tabs>
          <w:tab w:val="left" w:pos="9356"/>
        </w:tabs>
        <w:spacing w:line="276" w:lineRule="auto"/>
        <w:ind w:right="6"/>
        <w:rPr>
          <w:color w:val="000000" w:themeColor="text1"/>
          <w:lang w:val="en-GB"/>
        </w:rPr>
      </w:pPr>
    </w:p>
    <w:p w:rsidR="000418E1" w:rsidRPr="002C0411" w:rsidRDefault="002C0411" w:rsidP="002C0411">
      <w:pPr>
        <w:pStyle w:val="BodyText"/>
        <w:tabs>
          <w:tab w:val="left" w:pos="9356"/>
        </w:tabs>
        <w:spacing w:line="276" w:lineRule="auto"/>
        <w:ind w:right="6"/>
        <w:rPr>
          <w:b/>
          <w:color w:val="000000" w:themeColor="text1"/>
          <w:lang w:val="en-GB"/>
        </w:rPr>
      </w:pPr>
      <w:r w:rsidRPr="002C0411">
        <w:rPr>
          <w:b/>
          <w:color w:val="000000" w:themeColor="text1"/>
          <w:lang w:val="en-GB"/>
        </w:rPr>
        <w:t>STRATEGIC IMPROVEMENT AND INTERVENTIONS</w:t>
      </w:r>
    </w:p>
    <w:p w:rsidR="002C0411" w:rsidRDefault="002C0411" w:rsidP="002C0411">
      <w:pPr>
        <w:pStyle w:val="BodyText"/>
        <w:tabs>
          <w:tab w:val="left" w:pos="9356"/>
        </w:tabs>
        <w:spacing w:line="276" w:lineRule="auto"/>
        <w:ind w:right="6"/>
        <w:rPr>
          <w:color w:val="000000" w:themeColor="text1"/>
          <w:lang w:val="en-GB"/>
        </w:rPr>
      </w:pPr>
    </w:p>
    <w:p w:rsidR="000418E1" w:rsidRPr="002C0411" w:rsidRDefault="000418E1" w:rsidP="002C0411">
      <w:pPr>
        <w:pStyle w:val="BodyText"/>
        <w:tabs>
          <w:tab w:val="left" w:pos="9356"/>
        </w:tabs>
        <w:spacing w:line="276" w:lineRule="auto"/>
        <w:ind w:right="6"/>
        <w:rPr>
          <w:color w:val="000000" w:themeColor="text1"/>
          <w:u w:val="single"/>
          <w:lang w:val="en-GB"/>
        </w:rPr>
      </w:pPr>
      <w:r w:rsidRPr="002C0411">
        <w:rPr>
          <w:color w:val="000000" w:themeColor="text1"/>
          <w:u w:val="single"/>
          <w:lang w:val="en-GB"/>
        </w:rPr>
        <w:t>Integrated care</w:t>
      </w:r>
    </w:p>
    <w:p w:rsidR="000418E1" w:rsidRPr="002C0411" w:rsidRDefault="000418E1" w:rsidP="002C0411">
      <w:pPr>
        <w:pStyle w:val="BodyText"/>
        <w:tabs>
          <w:tab w:val="left" w:pos="9356"/>
        </w:tabs>
        <w:spacing w:line="276" w:lineRule="auto"/>
        <w:ind w:right="6"/>
        <w:rPr>
          <w:color w:val="000000" w:themeColor="text1"/>
          <w:lang w:val="en-GB"/>
        </w:rPr>
      </w:pPr>
    </w:p>
    <w:p w:rsid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 xml:space="preserve">The NHS Five Year Forward View (2014) called for new care models to achieve better integration of care across GP, community health, mental health and hospital services, as well as more joined up working with home care, care homes and the voluntary sector. </w:t>
      </w:r>
    </w:p>
    <w:p w:rsidR="002C0411" w:rsidRDefault="002C0411" w:rsidP="002C0411">
      <w:pPr>
        <w:tabs>
          <w:tab w:val="left" w:pos="9356"/>
        </w:tabs>
        <w:spacing w:line="276" w:lineRule="auto"/>
        <w:ind w:right="6"/>
        <w:jc w:val="both"/>
        <w:rPr>
          <w:bCs/>
          <w:iCs/>
          <w:color w:val="000000" w:themeColor="text1"/>
          <w:sz w:val="24"/>
          <w:szCs w:val="24"/>
          <w:lang w:val="en-GB" w:eastAsia="en-GB"/>
        </w:rPr>
      </w:pPr>
    </w:p>
    <w:p w:rsid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 xml:space="preserve">These new models will be delivered in Harrow through the </w:t>
      </w:r>
      <w:r w:rsidR="002C0411">
        <w:rPr>
          <w:bCs/>
          <w:iCs/>
          <w:color w:val="000000" w:themeColor="text1"/>
          <w:sz w:val="24"/>
          <w:szCs w:val="24"/>
          <w:lang w:val="en-GB" w:eastAsia="en-GB"/>
        </w:rPr>
        <w:t>development of Integrated Care</w:t>
      </w:r>
      <w:r w:rsidRPr="002C0411">
        <w:rPr>
          <w:bCs/>
          <w:iCs/>
          <w:color w:val="000000" w:themeColor="text1"/>
          <w:sz w:val="24"/>
          <w:szCs w:val="24"/>
          <w:lang w:val="en-GB" w:eastAsia="en-GB"/>
        </w:rPr>
        <w:t xml:space="preserve"> where health and care partners work together to develop models of care that meet the needs of their population. This includes tackling wider determinants of health and illness e.g. housing, environment, education etc. </w:t>
      </w:r>
    </w:p>
    <w:p w:rsidR="002C0411" w:rsidRDefault="002C0411" w:rsidP="002C0411">
      <w:pPr>
        <w:tabs>
          <w:tab w:val="left" w:pos="9356"/>
        </w:tabs>
        <w:spacing w:line="276" w:lineRule="auto"/>
        <w:ind w:right="6"/>
        <w:jc w:val="both"/>
        <w:rPr>
          <w:bCs/>
          <w:iCs/>
          <w:color w:val="000000" w:themeColor="text1"/>
          <w:sz w:val="24"/>
          <w:szCs w:val="24"/>
          <w:lang w:val="en-GB" w:eastAsia="en-GB"/>
        </w:rPr>
      </w:pPr>
    </w:p>
    <w:p w:rsidR="000418E1" w:rsidRP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Integrated care operates through working collectively to a single contract, a shared and single set of outcomes to be delivered and single funding stream for the services delivered. Early results from parts of the country that have started doing this – ‘vanguard’ areas – are seeing slower growth in emergency hospitalisations and less time spent in hospital compared to the rest of the country. The difference has been particularly noticeable for people over 75, who often face a revolving door of emergency admission, delayed discharge and then hospital re-admission.</w:t>
      </w:r>
    </w:p>
    <w:p w:rsidR="000418E1" w:rsidRPr="002C0411" w:rsidRDefault="000418E1" w:rsidP="002C0411">
      <w:pPr>
        <w:tabs>
          <w:tab w:val="left" w:pos="9356"/>
        </w:tabs>
        <w:spacing w:line="276" w:lineRule="auto"/>
        <w:ind w:right="6"/>
        <w:jc w:val="both"/>
        <w:rPr>
          <w:bCs/>
          <w:iCs/>
          <w:color w:val="000000" w:themeColor="text1"/>
          <w:sz w:val="24"/>
          <w:szCs w:val="24"/>
          <w:lang w:val="en-GB" w:eastAsia="en-GB"/>
        </w:rPr>
      </w:pPr>
    </w:p>
    <w:p w:rsid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 xml:space="preserve">Since August 2017, Harrow Clinical Commissioning Group, the Local Authority and key Providers in Harrow have been working in partnership to develop and deliver integrated care initially for a subset of older adults, one group being the 65+ with dementia. </w:t>
      </w:r>
    </w:p>
    <w:p w:rsidR="002C0411" w:rsidRDefault="002C0411" w:rsidP="002C0411">
      <w:pPr>
        <w:tabs>
          <w:tab w:val="left" w:pos="9356"/>
        </w:tabs>
        <w:spacing w:line="276" w:lineRule="auto"/>
        <w:ind w:right="6"/>
        <w:jc w:val="both"/>
        <w:rPr>
          <w:bCs/>
          <w:iCs/>
          <w:color w:val="000000" w:themeColor="text1"/>
          <w:sz w:val="24"/>
          <w:szCs w:val="24"/>
          <w:lang w:val="en-GB" w:eastAsia="en-GB"/>
        </w:rPr>
      </w:pPr>
    </w:p>
    <w:p w:rsid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 xml:space="preserve">The aim is to enable truly person-centred care that supports adults with significant needs to achieve the best possible quality of life with an increased focus on prevention, </w:t>
      </w:r>
      <w:r w:rsidR="002C0411">
        <w:rPr>
          <w:bCs/>
          <w:iCs/>
          <w:color w:val="000000" w:themeColor="text1"/>
          <w:sz w:val="24"/>
          <w:szCs w:val="24"/>
          <w:lang w:val="en-GB" w:eastAsia="en-GB"/>
        </w:rPr>
        <w:t>proactive care and self-</w:t>
      </w:r>
      <w:r w:rsidRPr="002C0411">
        <w:rPr>
          <w:bCs/>
          <w:iCs/>
          <w:color w:val="000000" w:themeColor="text1"/>
          <w:sz w:val="24"/>
          <w:szCs w:val="24"/>
          <w:lang w:val="en-GB" w:eastAsia="en-GB"/>
        </w:rPr>
        <w:t xml:space="preserve">reliance. </w:t>
      </w:r>
    </w:p>
    <w:p w:rsidR="002C0411" w:rsidRDefault="002C0411" w:rsidP="002C0411">
      <w:pPr>
        <w:tabs>
          <w:tab w:val="left" w:pos="9356"/>
        </w:tabs>
        <w:spacing w:line="276" w:lineRule="auto"/>
        <w:ind w:right="6"/>
        <w:jc w:val="both"/>
        <w:rPr>
          <w:bCs/>
          <w:iCs/>
          <w:color w:val="000000" w:themeColor="text1"/>
          <w:sz w:val="24"/>
          <w:szCs w:val="24"/>
          <w:lang w:val="en-GB" w:eastAsia="en-GB"/>
        </w:rPr>
      </w:pPr>
    </w:p>
    <w:p w:rsidR="000418E1" w:rsidRPr="002C0411" w:rsidRDefault="000418E1" w:rsidP="002C0411">
      <w:pPr>
        <w:tabs>
          <w:tab w:val="left" w:pos="9356"/>
        </w:tabs>
        <w:spacing w:line="276" w:lineRule="auto"/>
        <w:ind w:right="6"/>
        <w:jc w:val="both"/>
        <w:rPr>
          <w:bCs/>
          <w:iCs/>
          <w:color w:val="000000" w:themeColor="text1"/>
          <w:sz w:val="24"/>
          <w:szCs w:val="24"/>
          <w:lang w:val="en-GB" w:eastAsia="en-GB"/>
        </w:rPr>
      </w:pPr>
      <w:r w:rsidRPr="002C0411">
        <w:rPr>
          <w:bCs/>
          <w:iCs/>
          <w:color w:val="000000" w:themeColor="text1"/>
          <w:sz w:val="24"/>
          <w:szCs w:val="24"/>
          <w:lang w:val="en-GB" w:eastAsia="en-GB"/>
        </w:rPr>
        <w:t>The programme aims to ensure that people have a personalised and co-ordinated approach for the care they need, making it easier and simpler to access support. It is intended that from 1</w:t>
      </w:r>
      <w:r w:rsidRPr="002C0411">
        <w:rPr>
          <w:bCs/>
          <w:iCs/>
          <w:color w:val="000000" w:themeColor="text1"/>
          <w:sz w:val="24"/>
          <w:szCs w:val="24"/>
          <w:vertAlign w:val="superscript"/>
          <w:lang w:val="en-GB" w:eastAsia="en-GB"/>
        </w:rPr>
        <w:t>st</w:t>
      </w:r>
      <w:r w:rsidRPr="002C0411">
        <w:rPr>
          <w:bCs/>
          <w:iCs/>
          <w:color w:val="000000" w:themeColor="text1"/>
          <w:sz w:val="24"/>
          <w:szCs w:val="24"/>
          <w:lang w:val="en-GB" w:eastAsia="en-GB"/>
        </w:rPr>
        <w:t xml:space="preserve"> April 2019, Harrow CCG will commission a new model of care and services for this group of over 65’s from a provider partnership. The intention is that this new model of care will be designed during September and October 2018, with testing from November 2018.</w:t>
      </w:r>
    </w:p>
    <w:p w:rsidR="002C0411" w:rsidRPr="006F42B0" w:rsidRDefault="002C0411" w:rsidP="002C0411">
      <w:pPr>
        <w:pStyle w:val="BodyText"/>
        <w:spacing w:line="276" w:lineRule="auto"/>
        <w:ind w:right="6"/>
        <w:jc w:val="both"/>
        <w:rPr>
          <w:color w:val="000000" w:themeColor="text1"/>
          <w:lang w:val="en-GB"/>
        </w:rPr>
      </w:pPr>
    </w:p>
    <w:p w:rsidR="002C0411" w:rsidRPr="006F42B0" w:rsidRDefault="002C0411" w:rsidP="002C0411">
      <w:pPr>
        <w:pStyle w:val="BodyText"/>
        <w:spacing w:line="276" w:lineRule="auto"/>
        <w:ind w:right="6"/>
        <w:jc w:val="both"/>
        <w:rPr>
          <w:color w:val="000000" w:themeColor="text1"/>
          <w:u w:val="single"/>
          <w:lang w:val="en-GB"/>
        </w:rPr>
      </w:pPr>
      <w:r w:rsidRPr="006F42B0">
        <w:rPr>
          <w:color w:val="000000" w:themeColor="text1"/>
          <w:u w:val="single"/>
          <w:lang w:val="en-GB"/>
        </w:rPr>
        <w:t>Care Home projects</w:t>
      </w:r>
    </w:p>
    <w:p w:rsidR="002C0411" w:rsidRPr="006F42B0" w:rsidRDefault="002C0411" w:rsidP="002C0411">
      <w:pPr>
        <w:pStyle w:val="BodyText"/>
        <w:spacing w:line="276" w:lineRule="auto"/>
        <w:ind w:right="6"/>
        <w:jc w:val="both"/>
        <w:rPr>
          <w:color w:val="000000" w:themeColor="text1"/>
          <w:lang w:val="en-GB"/>
        </w:rPr>
      </w:pPr>
    </w:p>
    <w:p w:rsidR="002C0411" w:rsidRPr="006F42B0" w:rsidRDefault="002C0411" w:rsidP="002C0411">
      <w:pPr>
        <w:jc w:val="both"/>
        <w:rPr>
          <w:sz w:val="24"/>
          <w:szCs w:val="24"/>
          <w:lang w:val="en-GB"/>
        </w:rPr>
      </w:pPr>
      <w:r w:rsidRPr="006F42B0">
        <w:rPr>
          <w:sz w:val="24"/>
          <w:szCs w:val="24"/>
          <w:lang w:val="en-GB"/>
        </w:rPr>
        <w:t>North West London collaborative older peoples team are leading on the implementation on a series of schemes across all boroughs in North West London, with individual CCG Care Home leads taking forward the implementation of the projects locally, these projects include:</w:t>
      </w:r>
    </w:p>
    <w:p w:rsidR="002C0411" w:rsidRPr="006F42B0" w:rsidRDefault="002C0411" w:rsidP="002C0411">
      <w:pPr>
        <w:jc w:val="both"/>
        <w:rPr>
          <w:sz w:val="24"/>
          <w:szCs w:val="24"/>
          <w:lang w:val="en-GB"/>
        </w:rPr>
      </w:pPr>
    </w:p>
    <w:p w:rsidR="002C0411" w:rsidRPr="006F42B0" w:rsidRDefault="002C0411" w:rsidP="006F42B0">
      <w:pPr>
        <w:pStyle w:val="ListParagraph"/>
        <w:widowControl/>
        <w:numPr>
          <w:ilvl w:val="0"/>
          <w:numId w:val="46"/>
        </w:numPr>
        <w:autoSpaceDE/>
        <w:autoSpaceDN/>
        <w:jc w:val="both"/>
        <w:rPr>
          <w:sz w:val="24"/>
          <w:szCs w:val="24"/>
          <w:lang w:val="en-GB"/>
        </w:rPr>
      </w:pPr>
      <w:r w:rsidRPr="006F42B0">
        <w:rPr>
          <w:b/>
          <w:bCs/>
          <w:sz w:val="24"/>
          <w:szCs w:val="24"/>
          <w:lang w:val="en-GB"/>
        </w:rPr>
        <w:t>Red Bag Scheme</w:t>
      </w:r>
      <w:r w:rsidRPr="006F42B0">
        <w:rPr>
          <w:sz w:val="24"/>
          <w:szCs w:val="24"/>
          <w:lang w:val="en-GB"/>
        </w:rPr>
        <w:t xml:space="preserve"> is currently available in 13 Harrow older peoples care homes. The aim of the red bag is to streamline information sharing when a patient is transferred into A&amp;E or via a frailty pathway. The vision is for all of older peoples care homes to implement the red bag scheme within the next 6 months.</w:t>
      </w:r>
    </w:p>
    <w:p w:rsidR="002C0411" w:rsidRPr="006F42B0" w:rsidRDefault="002C0411" w:rsidP="002C0411">
      <w:pPr>
        <w:pStyle w:val="ListParagraph"/>
        <w:widowControl/>
        <w:autoSpaceDE/>
        <w:autoSpaceDN/>
        <w:ind w:left="0" w:firstLine="0"/>
        <w:jc w:val="both"/>
        <w:rPr>
          <w:sz w:val="24"/>
          <w:szCs w:val="24"/>
          <w:lang w:val="en-GB"/>
        </w:rPr>
      </w:pPr>
    </w:p>
    <w:p w:rsidR="002C0411" w:rsidRPr="006F42B0" w:rsidRDefault="002C0411" w:rsidP="006F42B0">
      <w:pPr>
        <w:pStyle w:val="ListParagraph"/>
        <w:widowControl/>
        <w:numPr>
          <w:ilvl w:val="0"/>
          <w:numId w:val="46"/>
        </w:numPr>
        <w:autoSpaceDE/>
        <w:autoSpaceDN/>
        <w:jc w:val="both"/>
        <w:rPr>
          <w:sz w:val="24"/>
          <w:szCs w:val="24"/>
          <w:lang w:val="en-GB"/>
        </w:rPr>
      </w:pPr>
      <w:r w:rsidRPr="006F42B0">
        <w:rPr>
          <w:b/>
          <w:bCs/>
          <w:sz w:val="24"/>
          <w:szCs w:val="24"/>
          <w:lang w:val="en-GB"/>
        </w:rPr>
        <w:t xml:space="preserve">Telemedicine via 111 *6. </w:t>
      </w:r>
      <w:r w:rsidRPr="006F42B0">
        <w:rPr>
          <w:sz w:val="24"/>
          <w:szCs w:val="24"/>
          <w:lang w:val="en-GB"/>
        </w:rPr>
        <w:t xml:space="preserve">In November 2017 111/*6 was soft launched across NW London, whereby care home staff could speak to a clinician via the 111 service. The service is about to be re launched ahead of winter 18/19 to ensure all care homes are aware of the service to reduce inappropriate LAS call outs and conveyances. Older </w:t>
      </w:r>
      <w:proofErr w:type="gramStart"/>
      <w:r w:rsidRPr="006F42B0">
        <w:rPr>
          <w:sz w:val="24"/>
          <w:szCs w:val="24"/>
          <w:lang w:val="en-GB"/>
        </w:rPr>
        <w:t>peoples</w:t>
      </w:r>
      <w:proofErr w:type="gramEnd"/>
      <w:r w:rsidRPr="006F42B0">
        <w:rPr>
          <w:sz w:val="24"/>
          <w:szCs w:val="24"/>
          <w:lang w:val="en-GB"/>
        </w:rPr>
        <w:t xml:space="preserve"> nurse practitioners are now available 8am-8pm 7 days per week to take the calls, with a view to extend the opening times to 2am over the next few months. </w:t>
      </w:r>
    </w:p>
    <w:p w:rsidR="002C0411" w:rsidRPr="006F42B0" w:rsidRDefault="002C0411" w:rsidP="002C0411">
      <w:pPr>
        <w:pStyle w:val="ListParagraph"/>
        <w:widowControl/>
        <w:autoSpaceDE/>
        <w:autoSpaceDN/>
        <w:ind w:left="0" w:firstLine="0"/>
        <w:jc w:val="both"/>
        <w:rPr>
          <w:b/>
          <w:bCs/>
          <w:sz w:val="24"/>
          <w:szCs w:val="24"/>
          <w:lang w:val="en-GB"/>
        </w:rPr>
      </w:pPr>
    </w:p>
    <w:p w:rsidR="002C0411" w:rsidRPr="006F42B0" w:rsidRDefault="002C0411" w:rsidP="006F42B0">
      <w:pPr>
        <w:pStyle w:val="ListParagraph"/>
        <w:ind w:left="720" w:firstLine="0"/>
        <w:jc w:val="both"/>
        <w:rPr>
          <w:sz w:val="24"/>
          <w:szCs w:val="24"/>
          <w:lang w:val="en-GB"/>
        </w:rPr>
      </w:pPr>
      <w:r w:rsidRPr="006F42B0">
        <w:rPr>
          <w:sz w:val="24"/>
          <w:szCs w:val="24"/>
          <w:lang w:val="en-GB"/>
        </w:rPr>
        <w:t>The overall vision is for telemedicine to be available via 111 *6 in</w:t>
      </w:r>
      <w:r w:rsidR="006F42B0">
        <w:rPr>
          <w:sz w:val="24"/>
          <w:szCs w:val="24"/>
          <w:lang w:val="en-GB"/>
        </w:rPr>
        <w:t xml:space="preserve"> all older peoples care homes, </w:t>
      </w:r>
      <w:r w:rsidRPr="006F42B0">
        <w:rPr>
          <w:sz w:val="24"/>
          <w:szCs w:val="24"/>
          <w:lang w:val="en-GB"/>
        </w:rPr>
        <w:t xml:space="preserve">whereby the 111 clinician will be able to complete a consultation as care homes will have access to a tablet device. This pilot will be tested first in </w:t>
      </w:r>
      <w:proofErr w:type="gramStart"/>
      <w:r w:rsidRPr="006F42B0">
        <w:rPr>
          <w:sz w:val="24"/>
          <w:szCs w:val="24"/>
          <w:lang w:val="en-GB"/>
        </w:rPr>
        <w:t>a  Brent</w:t>
      </w:r>
      <w:proofErr w:type="gramEnd"/>
      <w:r w:rsidRPr="006F42B0">
        <w:rPr>
          <w:sz w:val="24"/>
          <w:szCs w:val="24"/>
          <w:lang w:val="en-GB"/>
        </w:rPr>
        <w:t xml:space="preserve"> care home with a Harrow care home being  tested within the next few months.</w:t>
      </w:r>
    </w:p>
    <w:p w:rsidR="006F42B0" w:rsidRPr="006F42B0" w:rsidRDefault="006F42B0" w:rsidP="002C0411">
      <w:pPr>
        <w:pStyle w:val="ListParagraph"/>
        <w:ind w:left="0" w:firstLine="0"/>
        <w:jc w:val="both"/>
        <w:rPr>
          <w:sz w:val="24"/>
          <w:szCs w:val="24"/>
          <w:lang w:val="en-GB"/>
        </w:rPr>
      </w:pPr>
    </w:p>
    <w:p w:rsidR="002C0411" w:rsidRPr="006F42B0" w:rsidRDefault="002C0411" w:rsidP="006F42B0">
      <w:pPr>
        <w:pStyle w:val="ListParagraph"/>
        <w:widowControl/>
        <w:numPr>
          <w:ilvl w:val="0"/>
          <w:numId w:val="46"/>
        </w:numPr>
        <w:autoSpaceDE/>
        <w:autoSpaceDN/>
        <w:jc w:val="both"/>
        <w:rPr>
          <w:sz w:val="24"/>
          <w:szCs w:val="24"/>
          <w:lang w:val="en-GB"/>
        </w:rPr>
      </w:pPr>
      <w:r w:rsidRPr="006F42B0">
        <w:rPr>
          <w:b/>
          <w:bCs/>
          <w:sz w:val="24"/>
          <w:szCs w:val="24"/>
          <w:lang w:val="en-GB"/>
        </w:rPr>
        <w:t>Recognising and acting on deterioration Training</w:t>
      </w:r>
      <w:r w:rsidR="006F42B0">
        <w:rPr>
          <w:b/>
          <w:bCs/>
          <w:sz w:val="24"/>
          <w:szCs w:val="24"/>
          <w:lang w:val="en-GB"/>
        </w:rPr>
        <w:t>.</w:t>
      </w:r>
      <w:r w:rsidRPr="006F42B0">
        <w:rPr>
          <w:b/>
          <w:bCs/>
          <w:sz w:val="24"/>
          <w:szCs w:val="24"/>
          <w:lang w:val="en-GB"/>
        </w:rPr>
        <w:t xml:space="preserve"> </w:t>
      </w:r>
      <w:r w:rsidRPr="006F42B0">
        <w:rPr>
          <w:sz w:val="24"/>
          <w:szCs w:val="24"/>
          <w:lang w:val="en-GB"/>
        </w:rPr>
        <w:t xml:space="preserve">This is a 5 day training programme which is being delivered by St Luke’s Hospice to a number of Harrow older peoples care homes. The training is bespoke to each care home and aims to improve the outcomes in care homes in recognising deterioration and end of life. </w:t>
      </w:r>
    </w:p>
    <w:p w:rsidR="006F42B0" w:rsidRPr="006F42B0" w:rsidRDefault="006F42B0" w:rsidP="006F42B0">
      <w:pPr>
        <w:pStyle w:val="ListParagraph"/>
        <w:widowControl/>
        <w:autoSpaceDE/>
        <w:autoSpaceDN/>
        <w:ind w:left="0" w:firstLine="0"/>
        <w:jc w:val="both"/>
        <w:rPr>
          <w:b/>
          <w:bCs/>
          <w:sz w:val="24"/>
          <w:szCs w:val="24"/>
          <w:lang w:val="en-GB"/>
        </w:rPr>
      </w:pPr>
    </w:p>
    <w:p w:rsidR="002C0411" w:rsidRPr="006F42B0" w:rsidRDefault="002C0411" w:rsidP="006F42B0">
      <w:pPr>
        <w:pStyle w:val="ListParagraph"/>
        <w:widowControl/>
        <w:numPr>
          <w:ilvl w:val="0"/>
          <w:numId w:val="46"/>
        </w:numPr>
        <w:autoSpaceDE/>
        <w:autoSpaceDN/>
        <w:jc w:val="both"/>
        <w:rPr>
          <w:sz w:val="24"/>
          <w:szCs w:val="24"/>
          <w:lang w:val="en-GB"/>
        </w:rPr>
      </w:pPr>
      <w:r w:rsidRPr="006F42B0">
        <w:rPr>
          <w:b/>
          <w:bCs/>
          <w:sz w:val="24"/>
          <w:szCs w:val="24"/>
          <w:lang w:val="en-GB"/>
        </w:rPr>
        <w:t xml:space="preserve">Medicines Optimisation in Care Homes </w:t>
      </w:r>
      <w:r w:rsidRPr="006F42B0">
        <w:rPr>
          <w:sz w:val="24"/>
          <w:szCs w:val="24"/>
          <w:lang w:val="en-GB"/>
        </w:rPr>
        <w:t xml:space="preserve">Harrow CCG </w:t>
      </w:r>
      <w:proofErr w:type="gramStart"/>
      <w:r w:rsidRPr="006F42B0">
        <w:rPr>
          <w:sz w:val="24"/>
          <w:szCs w:val="24"/>
          <w:lang w:val="en-GB"/>
        </w:rPr>
        <w:t>are</w:t>
      </w:r>
      <w:proofErr w:type="gramEnd"/>
      <w:r w:rsidRPr="006F42B0">
        <w:rPr>
          <w:sz w:val="24"/>
          <w:szCs w:val="24"/>
          <w:lang w:val="en-GB"/>
        </w:rPr>
        <w:t xml:space="preserve"> one of four CCG’s in NW London who expressed an interest in implementing the 2 year pilot. Whereby pharmacists will support care homes with medicines managements and complete medication reviews working closely with the relevant GP’s. Harrow CCG </w:t>
      </w:r>
      <w:proofErr w:type="gramStart"/>
      <w:r w:rsidRPr="006F42B0">
        <w:rPr>
          <w:sz w:val="24"/>
          <w:szCs w:val="24"/>
          <w:lang w:val="en-GB"/>
        </w:rPr>
        <w:t>are</w:t>
      </w:r>
      <w:proofErr w:type="gramEnd"/>
      <w:r w:rsidRPr="006F42B0">
        <w:rPr>
          <w:sz w:val="24"/>
          <w:szCs w:val="24"/>
          <w:lang w:val="en-GB"/>
        </w:rPr>
        <w:t xml:space="preserve"> working in partnership with LNWHT, who will recruit and manage the pharmacists. This pilot is due to commence by January 2019 and will initially run for 2 years.</w:t>
      </w:r>
    </w:p>
    <w:p w:rsidR="006F42B0" w:rsidRPr="006F42B0" w:rsidRDefault="006F42B0" w:rsidP="006F42B0">
      <w:pPr>
        <w:pStyle w:val="ListParagraph"/>
        <w:widowControl/>
        <w:autoSpaceDE/>
        <w:autoSpaceDN/>
        <w:ind w:left="0" w:firstLine="0"/>
        <w:jc w:val="both"/>
        <w:rPr>
          <w:b/>
          <w:bCs/>
          <w:sz w:val="24"/>
          <w:szCs w:val="24"/>
          <w:lang w:val="en-GB"/>
        </w:rPr>
      </w:pPr>
    </w:p>
    <w:p w:rsidR="002C0411" w:rsidRPr="006F42B0" w:rsidRDefault="002C0411" w:rsidP="006F42B0">
      <w:pPr>
        <w:pStyle w:val="ListParagraph"/>
        <w:widowControl/>
        <w:numPr>
          <w:ilvl w:val="0"/>
          <w:numId w:val="46"/>
        </w:numPr>
        <w:autoSpaceDE/>
        <w:autoSpaceDN/>
        <w:jc w:val="both"/>
        <w:rPr>
          <w:b/>
          <w:bCs/>
          <w:sz w:val="24"/>
          <w:szCs w:val="24"/>
          <w:lang w:val="en-GB"/>
        </w:rPr>
      </w:pPr>
      <w:r w:rsidRPr="006F42B0">
        <w:rPr>
          <w:b/>
          <w:bCs/>
          <w:sz w:val="24"/>
          <w:szCs w:val="24"/>
          <w:lang w:val="en-GB"/>
        </w:rPr>
        <w:t xml:space="preserve">Leadership training programme – My Home Life </w:t>
      </w:r>
      <w:r w:rsidRPr="006F42B0">
        <w:rPr>
          <w:sz w:val="24"/>
          <w:szCs w:val="24"/>
          <w:lang w:val="en-GB"/>
        </w:rPr>
        <w:t xml:space="preserve">All care home managers were invited to apply to take part in the training programme. For Harrow there are 13 care homes </w:t>
      </w:r>
      <w:r w:rsidR="006F42B0" w:rsidRPr="006F42B0">
        <w:rPr>
          <w:sz w:val="24"/>
          <w:szCs w:val="24"/>
          <w:lang w:val="en-GB"/>
        </w:rPr>
        <w:t>that</w:t>
      </w:r>
      <w:r w:rsidRPr="006F42B0">
        <w:rPr>
          <w:sz w:val="24"/>
          <w:szCs w:val="24"/>
          <w:lang w:val="en-GB"/>
        </w:rPr>
        <w:t xml:space="preserve"> are part of the training programme which is provided by City University. The training is due to end in March 2019 and </w:t>
      </w:r>
    </w:p>
    <w:p w:rsidR="006F42B0" w:rsidRDefault="006F42B0" w:rsidP="00117BFD">
      <w:pPr>
        <w:spacing w:line="276" w:lineRule="auto"/>
        <w:rPr>
          <w:b/>
          <w:lang w:val="en-GB"/>
        </w:rPr>
      </w:pPr>
    </w:p>
    <w:p w:rsidR="00C128BA" w:rsidRDefault="00C128BA" w:rsidP="00117BFD">
      <w:pPr>
        <w:spacing w:line="276" w:lineRule="auto"/>
        <w:rPr>
          <w:b/>
          <w:lang w:val="en-GB"/>
        </w:rPr>
      </w:pPr>
    </w:p>
    <w:p w:rsidR="002F6C81" w:rsidRPr="00842E46" w:rsidRDefault="002F6C81" w:rsidP="002F6C81">
      <w:pPr>
        <w:pStyle w:val="Pa13"/>
        <w:spacing w:after="100"/>
        <w:jc w:val="both"/>
        <w:rPr>
          <w:color w:val="000000"/>
          <w:u w:val="single"/>
        </w:rPr>
      </w:pPr>
      <w:r w:rsidRPr="00842E46">
        <w:rPr>
          <w:color w:val="000000"/>
          <w:u w:val="single"/>
        </w:rPr>
        <w:t>Dementia awareness training for staff</w:t>
      </w:r>
    </w:p>
    <w:p w:rsidR="002F6C81" w:rsidRDefault="002F6C81" w:rsidP="002F6C81">
      <w:pPr>
        <w:pStyle w:val="Pa13"/>
        <w:spacing w:line="276" w:lineRule="auto"/>
        <w:jc w:val="both"/>
        <w:rPr>
          <w:color w:val="000000"/>
        </w:rPr>
      </w:pPr>
      <w:r w:rsidRPr="00842E46">
        <w:rPr>
          <w:color w:val="000000"/>
        </w:rPr>
        <w:t>T</w:t>
      </w:r>
      <w:r>
        <w:rPr>
          <w:color w:val="000000"/>
        </w:rPr>
        <w:t xml:space="preserve">raining and educating staff in </w:t>
      </w:r>
      <w:r w:rsidRPr="00842E46">
        <w:rPr>
          <w:color w:val="000000"/>
        </w:rPr>
        <w:t xml:space="preserve">Dementia Core </w:t>
      </w:r>
      <w:r>
        <w:rPr>
          <w:color w:val="000000"/>
        </w:rPr>
        <w:t xml:space="preserve">skills </w:t>
      </w:r>
      <w:r>
        <w:rPr>
          <w:bCs/>
          <w:color w:val="000000"/>
        </w:rPr>
        <w:t>will</w:t>
      </w:r>
      <w:r>
        <w:rPr>
          <w:color w:val="000000"/>
        </w:rPr>
        <w:t xml:space="preserve"> improve </w:t>
      </w:r>
      <w:r w:rsidRPr="00842E46">
        <w:rPr>
          <w:color w:val="000000"/>
        </w:rPr>
        <w:t>staff knowledge, skills, attitude and confidence and this can have a positive impact</w:t>
      </w:r>
      <w:r>
        <w:rPr>
          <w:color w:val="000000"/>
        </w:rPr>
        <w:t xml:space="preserve"> on those they provide care.</w:t>
      </w:r>
    </w:p>
    <w:p w:rsidR="002F6C81" w:rsidRPr="00842E46" w:rsidRDefault="002F6C81" w:rsidP="002F6C81">
      <w:pPr>
        <w:pStyle w:val="Pa4"/>
        <w:spacing w:line="276" w:lineRule="auto"/>
        <w:jc w:val="both"/>
      </w:pPr>
      <w:r w:rsidRPr="00842E46">
        <w:rPr>
          <w:color w:val="000000"/>
        </w:rPr>
        <w:t>The framework is a comprehensive resource to support health and social care staff, educators and carers who work with and care for people living with dementia. It sets out the essential skills and knowledge necessary for all staff involved in the dementia care pathwa</w:t>
      </w:r>
      <w:r>
        <w:rPr>
          <w:color w:val="000000"/>
        </w:rPr>
        <w:t xml:space="preserve">y. Harrow CCG has commenced training for GP practice and would expect all staff that comes into contact with patients who have dementia to at least attain Tier (1). </w:t>
      </w:r>
    </w:p>
    <w:tbl>
      <w:tblPr>
        <w:tblW w:w="9557" w:type="dxa"/>
        <w:tblBorders>
          <w:insideH w:val="single" w:sz="4" w:space="0" w:color="auto"/>
          <w:insideV w:val="single" w:sz="4" w:space="0" w:color="auto"/>
        </w:tblBorders>
        <w:tblLayout w:type="fixed"/>
        <w:tblLook w:val="0000" w:firstRow="0" w:lastRow="0" w:firstColumn="0" w:lastColumn="0" w:noHBand="0" w:noVBand="0"/>
      </w:tblPr>
      <w:tblGrid>
        <w:gridCol w:w="6462"/>
        <w:gridCol w:w="929"/>
        <w:gridCol w:w="1083"/>
        <w:gridCol w:w="1083"/>
      </w:tblGrid>
      <w:tr w:rsidR="002F6C81" w:rsidTr="002F6C81">
        <w:trPr>
          <w:trHeight w:val="141"/>
        </w:trPr>
        <w:tc>
          <w:tcPr>
            <w:tcW w:w="9557" w:type="dxa"/>
            <w:gridSpan w:val="4"/>
            <w:vAlign w:val="center"/>
          </w:tcPr>
          <w:p w:rsidR="002F6C81" w:rsidRDefault="002F6C81" w:rsidP="002F6C81">
            <w:pPr>
              <w:pStyle w:val="Pa6"/>
              <w:rPr>
                <w:bCs/>
                <w:color w:val="000000"/>
                <w:sz w:val="20"/>
                <w:szCs w:val="20"/>
              </w:rPr>
            </w:pPr>
          </w:p>
          <w:p w:rsidR="002F6C81" w:rsidRPr="002F6C81" w:rsidRDefault="002F6C81" w:rsidP="002F6C81">
            <w:pPr>
              <w:pStyle w:val="Pa6"/>
              <w:rPr>
                <w:bCs/>
                <w:color w:val="000000"/>
                <w:sz w:val="20"/>
                <w:szCs w:val="20"/>
              </w:rPr>
            </w:pPr>
            <w:r w:rsidRPr="0040718D">
              <w:rPr>
                <w:bCs/>
                <w:color w:val="000000"/>
                <w:sz w:val="20"/>
                <w:szCs w:val="20"/>
              </w:rPr>
              <w:t>Dementia Awareness: Summary of framework subjects</w:t>
            </w:r>
          </w:p>
        </w:tc>
      </w:tr>
      <w:tr w:rsidR="002F6C81" w:rsidTr="002F6C81">
        <w:trPr>
          <w:trHeight w:val="134"/>
        </w:trPr>
        <w:tc>
          <w:tcPr>
            <w:tcW w:w="6462" w:type="dxa"/>
            <w:shd w:val="clear" w:color="auto" w:fill="DBE5F1" w:themeFill="accent1" w:themeFillTint="33"/>
          </w:tcPr>
          <w:p w:rsidR="002F6C81" w:rsidRDefault="002F6C81" w:rsidP="002F6C81">
            <w:pPr>
              <w:pStyle w:val="Pa7"/>
              <w:spacing w:before="40" w:after="40"/>
              <w:rPr>
                <w:b/>
                <w:bCs/>
                <w:color w:val="000000"/>
                <w:sz w:val="19"/>
                <w:szCs w:val="19"/>
              </w:rPr>
            </w:pPr>
            <w:r>
              <w:rPr>
                <w:b/>
                <w:bCs/>
                <w:color w:val="000000"/>
                <w:sz w:val="19"/>
                <w:szCs w:val="19"/>
              </w:rPr>
              <w:t>Subject</w:t>
            </w:r>
          </w:p>
          <w:p w:rsidR="002F6C81" w:rsidRPr="0040718D" w:rsidRDefault="002F6C81" w:rsidP="002F6C81"/>
        </w:tc>
        <w:tc>
          <w:tcPr>
            <w:tcW w:w="929" w:type="dxa"/>
            <w:shd w:val="clear" w:color="auto" w:fill="DBE5F1" w:themeFill="accent1" w:themeFillTint="33"/>
          </w:tcPr>
          <w:p w:rsidR="002F6C81" w:rsidRDefault="002F6C81" w:rsidP="002F6C81">
            <w:pPr>
              <w:pStyle w:val="Pa17"/>
              <w:spacing w:before="40" w:after="40"/>
              <w:jc w:val="center"/>
              <w:rPr>
                <w:color w:val="000000"/>
                <w:sz w:val="19"/>
                <w:szCs w:val="19"/>
              </w:rPr>
            </w:pPr>
            <w:r>
              <w:rPr>
                <w:b/>
                <w:bCs/>
                <w:color w:val="000000"/>
                <w:sz w:val="19"/>
                <w:szCs w:val="19"/>
              </w:rPr>
              <w:t>Tier 1</w:t>
            </w:r>
          </w:p>
        </w:tc>
        <w:tc>
          <w:tcPr>
            <w:tcW w:w="1083" w:type="dxa"/>
            <w:shd w:val="clear" w:color="auto" w:fill="DBE5F1" w:themeFill="accent1" w:themeFillTint="33"/>
          </w:tcPr>
          <w:p w:rsidR="002F6C81" w:rsidRDefault="002F6C81" w:rsidP="002F6C81">
            <w:pPr>
              <w:pStyle w:val="Pa17"/>
              <w:spacing w:before="40" w:after="40"/>
              <w:jc w:val="center"/>
              <w:rPr>
                <w:color w:val="000000"/>
                <w:sz w:val="19"/>
                <w:szCs w:val="19"/>
              </w:rPr>
            </w:pPr>
            <w:r>
              <w:rPr>
                <w:b/>
                <w:bCs/>
                <w:color w:val="000000"/>
                <w:sz w:val="19"/>
                <w:szCs w:val="19"/>
              </w:rPr>
              <w:t>Tier 2</w:t>
            </w:r>
          </w:p>
        </w:tc>
        <w:tc>
          <w:tcPr>
            <w:tcW w:w="1083" w:type="dxa"/>
            <w:shd w:val="clear" w:color="auto" w:fill="DBE5F1" w:themeFill="accent1" w:themeFillTint="33"/>
          </w:tcPr>
          <w:p w:rsidR="002F6C81" w:rsidRDefault="002F6C81" w:rsidP="002F6C81">
            <w:pPr>
              <w:pStyle w:val="Pa17"/>
              <w:spacing w:before="40" w:after="40"/>
              <w:jc w:val="center"/>
              <w:rPr>
                <w:color w:val="000000"/>
                <w:sz w:val="19"/>
                <w:szCs w:val="19"/>
              </w:rPr>
            </w:pPr>
            <w:r>
              <w:rPr>
                <w:b/>
                <w:bCs/>
                <w:color w:val="000000"/>
                <w:sz w:val="19"/>
                <w:szCs w:val="19"/>
              </w:rPr>
              <w:t>Tier 3</w:t>
            </w:r>
          </w:p>
        </w:tc>
      </w:tr>
      <w:tr w:rsidR="002F6C81" w:rsidTr="002F6C81">
        <w:trPr>
          <w:trHeight w:val="135"/>
        </w:trPr>
        <w:tc>
          <w:tcPr>
            <w:tcW w:w="6462" w:type="dxa"/>
          </w:tcPr>
          <w:p w:rsidR="002F6C81" w:rsidRDefault="002F6C81" w:rsidP="002F6C81">
            <w:pPr>
              <w:pStyle w:val="Pa8"/>
              <w:spacing w:before="40" w:after="40"/>
              <w:rPr>
                <w:color w:val="000000"/>
                <w:sz w:val="20"/>
                <w:szCs w:val="20"/>
              </w:rPr>
            </w:pPr>
            <w:r>
              <w:rPr>
                <w:color w:val="000000"/>
                <w:sz w:val="20"/>
                <w:szCs w:val="20"/>
              </w:rPr>
              <w:t>Dementia awareness</w:t>
            </w:r>
          </w:p>
        </w:tc>
        <w:tc>
          <w:tcPr>
            <w:tcW w:w="929"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Dementia identification, assessment and diagnosis</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Dementia risk reduction and prevention</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Person-centred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Communication, interaction and behaviour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Health and wellbeing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Pharmacological interventions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Living well with dementia and promoting independence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Families and carers as partners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Equality diversity and inclusion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Law, ethics and safeguarding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End of life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7391" w:type="dxa"/>
            <w:gridSpan w:val="2"/>
          </w:tcPr>
          <w:p w:rsidR="002F6C81" w:rsidRDefault="002F6C81" w:rsidP="002F6C81">
            <w:pPr>
              <w:pStyle w:val="Pa8"/>
              <w:spacing w:before="40" w:after="40"/>
              <w:rPr>
                <w:color w:val="000000"/>
                <w:sz w:val="20"/>
                <w:szCs w:val="20"/>
              </w:rPr>
            </w:pPr>
            <w:r>
              <w:rPr>
                <w:color w:val="000000"/>
                <w:sz w:val="20"/>
                <w:szCs w:val="20"/>
              </w:rPr>
              <w:t>Research and evidence-based practice in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r w:rsidR="002F6C81" w:rsidTr="002F6C81">
        <w:trPr>
          <w:trHeight w:val="135"/>
        </w:trPr>
        <w:tc>
          <w:tcPr>
            <w:tcW w:w="8474" w:type="dxa"/>
            <w:gridSpan w:val="3"/>
          </w:tcPr>
          <w:p w:rsidR="002F6C81" w:rsidRDefault="002F6C81" w:rsidP="002F6C81">
            <w:pPr>
              <w:pStyle w:val="Pa8"/>
              <w:spacing w:before="40" w:after="40"/>
              <w:rPr>
                <w:color w:val="000000"/>
                <w:sz w:val="20"/>
                <w:szCs w:val="20"/>
              </w:rPr>
            </w:pPr>
            <w:r>
              <w:rPr>
                <w:color w:val="000000"/>
                <w:sz w:val="20"/>
                <w:szCs w:val="20"/>
              </w:rPr>
              <w:t>Leadership in transforming dementia care</w:t>
            </w:r>
          </w:p>
        </w:tc>
        <w:tc>
          <w:tcPr>
            <w:tcW w:w="1083" w:type="dxa"/>
          </w:tcPr>
          <w:p w:rsidR="002F6C81" w:rsidRDefault="002F6C81" w:rsidP="002F6C81">
            <w:pPr>
              <w:pStyle w:val="Pa18"/>
              <w:spacing w:before="40" w:after="40"/>
              <w:jc w:val="center"/>
              <w:rPr>
                <w:color w:val="000000"/>
                <w:sz w:val="20"/>
                <w:szCs w:val="20"/>
              </w:rPr>
            </w:pPr>
            <w:r>
              <w:rPr>
                <w:color w:val="000000"/>
                <w:sz w:val="20"/>
                <w:szCs w:val="20"/>
              </w:rPr>
              <w:t>●</w:t>
            </w:r>
          </w:p>
        </w:tc>
      </w:tr>
    </w:tbl>
    <w:p w:rsidR="000B0741" w:rsidRPr="00AC5858" w:rsidRDefault="000B0741" w:rsidP="00117BFD">
      <w:pPr>
        <w:spacing w:line="276" w:lineRule="auto"/>
        <w:rPr>
          <w:b/>
          <w:sz w:val="24"/>
          <w:lang w:val="en-GB"/>
        </w:rPr>
      </w:pPr>
    </w:p>
    <w:p w:rsidR="00F445A5" w:rsidRPr="00AC5858" w:rsidRDefault="00AC5858" w:rsidP="00117BFD">
      <w:pPr>
        <w:spacing w:line="276" w:lineRule="auto"/>
        <w:rPr>
          <w:sz w:val="24"/>
          <w:u w:val="single"/>
          <w:lang w:val="en-GB"/>
        </w:rPr>
      </w:pPr>
      <w:r w:rsidRPr="00AC5858">
        <w:rPr>
          <w:sz w:val="24"/>
          <w:u w:val="single"/>
          <w:lang w:val="en-GB"/>
        </w:rPr>
        <w:t xml:space="preserve">Delivering the </w:t>
      </w:r>
      <w:r w:rsidR="00064AF7" w:rsidRPr="00AC5858">
        <w:rPr>
          <w:sz w:val="24"/>
          <w:u w:val="single"/>
          <w:lang w:val="en-GB"/>
        </w:rPr>
        <w:t xml:space="preserve">2020 </w:t>
      </w:r>
      <w:r w:rsidRPr="00AC5858">
        <w:rPr>
          <w:sz w:val="24"/>
          <w:u w:val="single"/>
          <w:lang w:val="en-GB"/>
        </w:rPr>
        <w:t>Roadmap (</w:t>
      </w:r>
      <w:r w:rsidR="00064AF7" w:rsidRPr="00AC5858">
        <w:rPr>
          <w:sz w:val="24"/>
          <w:u w:val="single"/>
          <w:lang w:val="en-GB"/>
        </w:rPr>
        <w:t>Prime Minister’s Challenge on Dementia</w:t>
      </w:r>
      <w:r w:rsidRPr="00AC5858">
        <w:rPr>
          <w:sz w:val="24"/>
          <w:u w:val="single"/>
          <w:lang w:val="en-GB"/>
        </w:rPr>
        <w:t>)</w:t>
      </w:r>
    </w:p>
    <w:p w:rsidR="00064AF7" w:rsidRDefault="00064AF7" w:rsidP="00117BFD">
      <w:pPr>
        <w:spacing w:line="276" w:lineRule="auto"/>
        <w:rPr>
          <w:b/>
          <w:lang w:val="en-GB"/>
        </w:rPr>
      </w:pPr>
    </w:p>
    <w:p w:rsidR="001C372E" w:rsidRPr="001C372E" w:rsidRDefault="00AC5858" w:rsidP="001C372E">
      <w:pPr>
        <w:pStyle w:val="BodyText"/>
        <w:spacing w:line="276" w:lineRule="auto"/>
        <w:rPr>
          <w:rStyle w:val="Hyperlink"/>
          <w:sz w:val="20"/>
          <w:lang w:val="en-GB"/>
        </w:rPr>
      </w:pPr>
      <w:r>
        <w:rPr>
          <w:lang w:val="en-GB"/>
        </w:rPr>
        <w:t>Key points of the acti</w:t>
      </w:r>
      <w:r w:rsidRPr="00AC5858">
        <w:rPr>
          <w:lang w:val="en-GB"/>
        </w:rPr>
        <w:t>on plan are taken as commitments for local focus in Harrow</w:t>
      </w:r>
      <w:r w:rsidR="001C372E">
        <w:rPr>
          <w:lang w:val="en-GB"/>
        </w:rPr>
        <w:t xml:space="preserve">. The full list of actions at a national level can be seen on-line at: </w:t>
      </w:r>
      <w:r w:rsidR="001C372E" w:rsidRPr="001C372E">
        <w:rPr>
          <w:color w:val="FF0000"/>
          <w:sz w:val="20"/>
          <w:lang w:val="en-GB"/>
        </w:rPr>
        <w:fldChar w:fldCharType="begin"/>
      </w:r>
      <w:r w:rsidR="001C372E" w:rsidRPr="001C372E">
        <w:rPr>
          <w:color w:val="FF0000"/>
          <w:sz w:val="20"/>
          <w:lang w:val="en-GB"/>
        </w:rPr>
        <w:instrText xml:space="preserve"> HYPERLINK "https://www.gov.uk/government/publications/prime-ministers-challenge-on-dementia-2020/prime-ministers-challenge-on-dementia-2020" </w:instrText>
      </w:r>
      <w:r w:rsidR="001C372E" w:rsidRPr="001C372E">
        <w:rPr>
          <w:color w:val="FF0000"/>
          <w:sz w:val="20"/>
          <w:lang w:val="en-GB"/>
        </w:rPr>
        <w:fldChar w:fldCharType="separate"/>
      </w:r>
      <w:r w:rsidR="001C372E" w:rsidRPr="001C372E">
        <w:rPr>
          <w:rStyle w:val="Hyperlink"/>
          <w:sz w:val="20"/>
          <w:lang w:val="en-GB"/>
        </w:rPr>
        <w:t>https://www.gov.uk/government/publications/prime-ministers-challenge-on-dementia-2020/prime-ministers-challenge-on-dementia-2020</w:t>
      </w:r>
    </w:p>
    <w:p w:rsidR="00AC5858" w:rsidRPr="00913267" w:rsidRDefault="001C372E" w:rsidP="00C128BA">
      <w:pPr>
        <w:spacing w:line="276" w:lineRule="auto"/>
        <w:jc w:val="both"/>
        <w:rPr>
          <w:b/>
          <w:lang w:val="en-GB"/>
        </w:rPr>
      </w:pPr>
      <w:r w:rsidRPr="001C372E">
        <w:rPr>
          <w:color w:val="FF0000"/>
          <w:sz w:val="18"/>
          <w:lang w:val="en-GB"/>
        </w:rPr>
        <w:fldChar w:fldCharType="end"/>
      </w:r>
    </w:p>
    <w:tbl>
      <w:tblPr>
        <w:tblStyle w:val="TableGrid"/>
        <w:tblW w:w="9464" w:type="dxa"/>
        <w:tblBorders>
          <w:top w:val="double" w:sz="4" w:space="0" w:color="auto"/>
          <w:left w:val="double" w:sz="4" w:space="0" w:color="auto"/>
          <w:bottom w:val="double" w:sz="4" w:space="0" w:color="auto"/>
          <w:insideH w:val="double" w:sz="4" w:space="0" w:color="auto"/>
          <w:insideV w:val="double" w:sz="4" w:space="0" w:color="auto"/>
        </w:tblBorders>
        <w:tblLook w:val="04A0" w:firstRow="1" w:lastRow="0" w:firstColumn="1" w:lastColumn="0" w:noHBand="0" w:noVBand="1"/>
      </w:tblPr>
      <w:tblGrid>
        <w:gridCol w:w="462"/>
        <w:gridCol w:w="6876"/>
        <w:gridCol w:w="2126"/>
      </w:tblGrid>
      <w:tr w:rsidR="00186BC8" w:rsidRPr="00186BC8" w:rsidTr="00AC5858">
        <w:trPr>
          <w:trHeight w:val="176"/>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p>
        </w:tc>
        <w:tc>
          <w:tcPr>
            <w:tcW w:w="6876" w:type="dxa"/>
            <w:shd w:val="clear" w:color="auto" w:fill="DBE5F1" w:themeFill="accent1" w:themeFillTint="33"/>
          </w:tcPr>
          <w:p w:rsidR="00186BC8" w:rsidRPr="00186BC8" w:rsidRDefault="00186BC8" w:rsidP="00117BFD">
            <w:pPr>
              <w:spacing w:line="276" w:lineRule="auto"/>
              <w:rPr>
                <w:b/>
                <w:sz w:val="20"/>
                <w:szCs w:val="20"/>
                <w:lang w:val="en-GB"/>
              </w:rPr>
            </w:pPr>
          </w:p>
          <w:p w:rsidR="00186BC8" w:rsidRPr="00186BC8" w:rsidRDefault="000B0741" w:rsidP="00117BFD">
            <w:pPr>
              <w:spacing w:line="276" w:lineRule="auto"/>
              <w:rPr>
                <w:b/>
                <w:sz w:val="20"/>
                <w:szCs w:val="20"/>
                <w:lang w:val="en-GB"/>
              </w:rPr>
            </w:pPr>
            <w:r>
              <w:rPr>
                <w:b/>
                <w:sz w:val="20"/>
                <w:szCs w:val="20"/>
                <w:lang w:val="en-GB"/>
              </w:rPr>
              <w:t>Commitments for local focus in Harrow</w:t>
            </w:r>
          </w:p>
          <w:p w:rsidR="00186BC8" w:rsidRPr="00186BC8" w:rsidRDefault="00186BC8" w:rsidP="00117BFD">
            <w:pPr>
              <w:spacing w:line="276" w:lineRule="auto"/>
              <w:rPr>
                <w:b/>
                <w:sz w:val="20"/>
                <w:szCs w:val="20"/>
                <w:lang w:val="en-GB"/>
              </w:rPr>
            </w:pPr>
          </w:p>
        </w:tc>
        <w:tc>
          <w:tcPr>
            <w:tcW w:w="2126" w:type="dxa"/>
            <w:shd w:val="clear" w:color="auto" w:fill="DBE5F1" w:themeFill="accent1" w:themeFillTint="33"/>
          </w:tcPr>
          <w:p w:rsidR="00186BC8" w:rsidRPr="00186BC8" w:rsidRDefault="00186BC8" w:rsidP="00AC5858">
            <w:pPr>
              <w:spacing w:line="276" w:lineRule="auto"/>
              <w:jc w:val="center"/>
              <w:rPr>
                <w:b/>
                <w:sz w:val="20"/>
                <w:szCs w:val="20"/>
                <w:lang w:val="en-GB"/>
              </w:rPr>
            </w:pPr>
          </w:p>
          <w:p w:rsidR="00186BC8" w:rsidRPr="00186BC8" w:rsidRDefault="00186BC8" w:rsidP="00AC5858">
            <w:pPr>
              <w:spacing w:line="276" w:lineRule="auto"/>
              <w:jc w:val="center"/>
              <w:rPr>
                <w:b/>
                <w:sz w:val="20"/>
                <w:szCs w:val="20"/>
                <w:lang w:val="en-GB"/>
              </w:rPr>
            </w:pPr>
            <w:r w:rsidRPr="00186BC8">
              <w:rPr>
                <w:b/>
                <w:sz w:val="20"/>
                <w:szCs w:val="20"/>
                <w:lang w:val="en-GB"/>
              </w:rPr>
              <w:t>Delivery Plan</w:t>
            </w:r>
          </w:p>
        </w:tc>
      </w:tr>
      <w:tr w:rsidR="00186BC8" w:rsidRPr="00186BC8" w:rsidTr="00AC5858">
        <w:trPr>
          <w:trHeight w:val="1786"/>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1</w:t>
            </w:r>
          </w:p>
        </w:tc>
        <w:tc>
          <w:tcPr>
            <w:tcW w:w="6876" w:type="dxa"/>
          </w:tcPr>
          <w:p w:rsidR="00186BC8" w:rsidRPr="00186BC8" w:rsidRDefault="00186BC8" w:rsidP="00117BFD">
            <w:pPr>
              <w:spacing w:line="276" w:lineRule="auto"/>
              <w:rPr>
                <w:sz w:val="20"/>
                <w:szCs w:val="20"/>
                <w:lang w:val="en-GB"/>
              </w:rPr>
            </w:pPr>
          </w:p>
          <w:p w:rsidR="00186BC8" w:rsidRPr="00186BC8" w:rsidRDefault="00186BC8" w:rsidP="00117BFD">
            <w:pPr>
              <w:spacing w:line="276" w:lineRule="auto"/>
              <w:rPr>
                <w:sz w:val="20"/>
                <w:szCs w:val="20"/>
                <w:lang w:val="en-GB"/>
              </w:rPr>
            </w:pPr>
            <w:r w:rsidRPr="00186BC8">
              <w:rPr>
                <w:sz w:val="20"/>
                <w:szCs w:val="20"/>
                <w:lang w:val="en-GB"/>
              </w:rPr>
              <w:t>Improved public awareness and understanding of the factors, which increase the risk of developing dementia and how people can reduce their risk by living more healthily. This should include a focus on health inequalities, a new healthy ageing campaign and access to tools such as a personalised risk assessment calculator as part of the NHS Health Check.</w:t>
            </w:r>
          </w:p>
        </w:tc>
        <w:tc>
          <w:tcPr>
            <w:tcW w:w="2126" w:type="dxa"/>
            <w:vAlign w:val="center"/>
          </w:tcPr>
          <w:p w:rsidR="00186BC8" w:rsidRPr="00186BC8" w:rsidRDefault="00186BC8" w:rsidP="00186BC8">
            <w:pPr>
              <w:spacing w:line="276" w:lineRule="auto"/>
              <w:jc w:val="center"/>
              <w:rPr>
                <w:b/>
                <w:sz w:val="20"/>
                <w:szCs w:val="20"/>
                <w:lang w:val="en-GB"/>
              </w:rPr>
            </w:pPr>
            <w:r>
              <w:rPr>
                <w:b/>
                <w:sz w:val="20"/>
                <w:szCs w:val="20"/>
                <w:lang w:val="en-GB"/>
              </w:rPr>
              <w:t>June 2019</w:t>
            </w:r>
          </w:p>
        </w:tc>
      </w:tr>
      <w:tr w:rsidR="00186BC8" w:rsidRPr="00186BC8" w:rsidTr="000B0741">
        <w:trPr>
          <w:trHeight w:val="273"/>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3</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People with dementia having equal access to diagnosis as for other conditions, with an expectation that the national average for an initial assessment should be 6 weeks following a referral from a GP (where clinically appropriate), and that no one should be waiting several months for an initial assessment of dementia</w:t>
            </w:r>
          </w:p>
        </w:tc>
        <w:tc>
          <w:tcPr>
            <w:tcW w:w="2126" w:type="dxa"/>
            <w:shd w:val="clear" w:color="auto" w:fill="DBE5F1" w:themeFill="accent1" w:themeFillTint="33"/>
            <w:vAlign w:val="center"/>
          </w:tcPr>
          <w:p w:rsidR="00186BC8" w:rsidRPr="00186BC8" w:rsidRDefault="000B0741" w:rsidP="00186BC8">
            <w:pPr>
              <w:spacing w:line="276" w:lineRule="auto"/>
              <w:jc w:val="center"/>
              <w:rPr>
                <w:b/>
                <w:sz w:val="20"/>
                <w:szCs w:val="20"/>
                <w:lang w:val="en-GB"/>
              </w:rPr>
            </w:pPr>
            <w:r>
              <w:rPr>
                <w:b/>
                <w:sz w:val="20"/>
                <w:szCs w:val="20"/>
                <w:lang w:val="en-GB"/>
              </w:rPr>
              <w:t>Done</w:t>
            </w:r>
          </w:p>
        </w:tc>
      </w:tr>
      <w:tr w:rsidR="00186BC8" w:rsidRPr="00186BC8" w:rsidTr="000B0741">
        <w:trPr>
          <w:trHeight w:val="107"/>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4</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All Clinical Commissioning Groups and Local Health and Wellbeing Boards having access to improved data regarding the prevalence of dementia at local and national level and using this data to inform the commissioning and provision of services so that more people with dementia receive a timely diagnosis and appropriate post diagnosis support.</w:t>
            </w:r>
          </w:p>
        </w:tc>
        <w:tc>
          <w:tcPr>
            <w:tcW w:w="2126" w:type="dxa"/>
            <w:shd w:val="clear" w:color="auto" w:fill="DBE5F1" w:themeFill="accent1" w:themeFillTint="33"/>
            <w:vAlign w:val="center"/>
          </w:tcPr>
          <w:p w:rsidR="00186BC8" w:rsidRPr="00186BC8" w:rsidRDefault="000B0741" w:rsidP="00186BC8">
            <w:pPr>
              <w:spacing w:line="276" w:lineRule="auto"/>
              <w:jc w:val="center"/>
              <w:rPr>
                <w:b/>
                <w:sz w:val="20"/>
                <w:szCs w:val="20"/>
                <w:lang w:val="en-GB"/>
              </w:rPr>
            </w:pPr>
            <w:r>
              <w:rPr>
                <w:b/>
                <w:sz w:val="20"/>
                <w:szCs w:val="20"/>
                <w:lang w:val="en-GB"/>
              </w:rPr>
              <w:t>Done</w:t>
            </w:r>
          </w:p>
        </w:tc>
      </w:tr>
      <w:tr w:rsidR="00186BC8" w:rsidRPr="00186BC8" w:rsidTr="00186BC8">
        <w:trPr>
          <w:trHeight w:val="107"/>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5</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An increase in the numbers of people of Black, Asian and Minority Ethnic origin and other seldom heard groups who receive a diagnosis of dementia, enabled through greater use by health professionals of diagnostic tools that are linguistically or culturally appropriate</w:t>
            </w:r>
          </w:p>
        </w:tc>
        <w:tc>
          <w:tcPr>
            <w:tcW w:w="2126" w:type="dxa"/>
            <w:vAlign w:val="center"/>
          </w:tcPr>
          <w:p w:rsidR="00186BC8" w:rsidRPr="00186BC8" w:rsidRDefault="000B0741" w:rsidP="00186BC8">
            <w:pPr>
              <w:spacing w:line="276" w:lineRule="auto"/>
              <w:jc w:val="center"/>
              <w:rPr>
                <w:b/>
                <w:sz w:val="20"/>
                <w:szCs w:val="20"/>
                <w:lang w:val="en-GB"/>
              </w:rPr>
            </w:pPr>
            <w:r>
              <w:rPr>
                <w:b/>
                <w:sz w:val="20"/>
                <w:szCs w:val="20"/>
                <w:lang w:val="en-GB"/>
              </w:rPr>
              <w:t>June 2019</w:t>
            </w:r>
          </w:p>
        </w:tc>
      </w:tr>
      <w:tr w:rsidR="00186BC8" w:rsidRPr="00186BC8" w:rsidTr="000B0741">
        <w:trPr>
          <w:trHeight w:val="107"/>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7</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GPs playing a leading role in ensuring coordination and continuity of care for people with dementia, as part of the existing commitment that from 1 April 2015 everyone will have access to a named GP with overall responsibility and oversight for their care</w:t>
            </w:r>
          </w:p>
        </w:tc>
        <w:tc>
          <w:tcPr>
            <w:tcW w:w="2126" w:type="dxa"/>
            <w:shd w:val="clear" w:color="auto" w:fill="DBE5F1" w:themeFill="accent1" w:themeFillTint="33"/>
            <w:vAlign w:val="center"/>
          </w:tcPr>
          <w:p w:rsidR="00186BC8" w:rsidRPr="00186BC8" w:rsidRDefault="00186BC8" w:rsidP="00186BC8">
            <w:pPr>
              <w:spacing w:line="276" w:lineRule="auto"/>
              <w:jc w:val="center"/>
              <w:rPr>
                <w:b/>
                <w:sz w:val="20"/>
                <w:szCs w:val="20"/>
                <w:lang w:val="en-GB"/>
              </w:rPr>
            </w:pPr>
            <w:r w:rsidRPr="00186BC8">
              <w:rPr>
                <w:b/>
                <w:sz w:val="20"/>
                <w:szCs w:val="20"/>
                <w:lang w:val="en-GB"/>
              </w:rPr>
              <w:t>Done</w:t>
            </w:r>
          </w:p>
        </w:tc>
      </w:tr>
      <w:tr w:rsidR="00186BC8" w:rsidRPr="00186BC8" w:rsidTr="00186BC8">
        <w:trPr>
          <w:trHeight w:val="107"/>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8</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Every person diagnosed with dementia having meaningful care following their diagnosis, which supports them and those around them, with meaningful care being in accordance with published National Institute for Health and Care Excellence (NICE) Quality Standards.</w:t>
            </w:r>
          </w:p>
        </w:tc>
        <w:tc>
          <w:tcPr>
            <w:tcW w:w="2126" w:type="dxa"/>
            <w:vAlign w:val="center"/>
          </w:tcPr>
          <w:p w:rsidR="00186BC8" w:rsidRPr="00186BC8" w:rsidRDefault="000B0741" w:rsidP="00186BC8">
            <w:pPr>
              <w:spacing w:line="276" w:lineRule="auto"/>
              <w:jc w:val="center"/>
              <w:rPr>
                <w:b/>
                <w:sz w:val="20"/>
                <w:szCs w:val="20"/>
                <w:lang w:val="en-GB"/>
              </w:rPr>
            </w:pPr>
            <w:r>
              <w:rPr>
                <w:b/>
                <w:sz w:val="20"/>
                <w:szCs w:val="20"/>
                <w:lang w:val="en-GB"/>
              </w:rPr>
              <w:t>October 2019</w:t>
            </w:r>
          </w:p>
        </w:tc>
      </w:tr>
      <w:tr w:rsidR="00186BC8" w:rsidRPr="00186BC8" w:rsidTr="00186BC8">
        <w:trPr>
          <w:trHeight w:val="107"/>
        </w:trPr>
        <w:tc>
          <w:tcPr>
            <w:tcW w:w="462" w:type="dxa"/>
            <w:shd w:val="clear" w:color="auto" w:fill="DBE5F1" w:themeFill="accent1" w:themeFillTint="33"/>
          </w:tcPr>
          <w:p w:rsidR="00186BC8" w:rsidRPr="00186BC8" w:rsidRDefault="00186BC8" w:rsidP="00117BFD">
            <w:pPr>
              <w:spacing w:line="276" w:lineRule="auto"/>
              <w:rPr>
                <w:sz w:val="20"/>
                <w:szCs w:val="20"/>
                <w:lang w:val="en-GB"/>
              </w:rPr>
            </w:pPr>
            <w:r w:rsidRPr="00186BC8">
              <w:rPr>
                <w:sz w:val="20"/>
                <w:szCs w:val="20"/>
                <w:lang w:val="en-GB"/>
              </w:rPr>
              <w:t>10</w:t>
            </w:r>
          </w:p>
        </w:tc>
        <w:tc>
          <w:tcPr>
            <w:tcW w:w="6876" w:type="dxa"/>
          </w:tcPr>
          <w:p w:rsidR="00186BC8" w:rsidRPr="00186BC8" w:rsidRDefault="00186BC8" w:rsidP="00117BFD">
            <w:pPr>
              <w:spacing w:line="276" w:lineRule="auto"/>
              <w:rPr>
                <w:sz w:val="20"/>
                <w:szCs w:val="20"/>
                <w:lang w:val="en-GB"/>
              </w:rPr>
            </w:pPr>
            <w:r w:rsidRPr="00186BC8">
              <w:rPr>
                <w:sz w:val="20"/>
                <w:szCs w:val="20"/>
                <w:lang w:val="en-GB"/>
              </w:rPr>
              <w:t>Increased numbers of people with dementia being able to live longer in their own homes when it is in their interests to do so, with a greater focus on independent living</w:t>
            </w:r>
          </w:p>
        </w:tc>
        <w:tc>
          <w:tcPr>
            <w:tcW w:w="2126" w:type="dxa"/>
            <w:vAlign w:val="center"/>
          </w:tcPr>
          <w:p w:rsidR="00186BC8" w:rsidRPr="00186BC8" w:rsidRDefault="000B0741" w:rsidP="00186BC8">
            <w:pPr>
              <w:spacing w:line="276" w:lineRule="auto"/>
              <w:jc w:val="center"/>
              <w:rPr>
                <w:b/>
                <w:sz w:val="20"/>
                <w:szCs w:val="20"/>
                <w:lang w:val="en-GB"/>
              </w:rPr>
            </w:pPr>
            <w:r>
              <w:rPr>
                <w:b/>
                <w:sz w:val="20"/>
                <w:szCs w:val="20"/>
                <w:lang w:val="en-GB"/>
              </w:rPr>
              <w:t>March 2020</w:t>
            </w:r>
          </w:p>
        </w:tc>
      </w:tr>
    </w:tbl>
    <w:p w:rsidR="00064AF7" w:rsidRPr="00913267" w:rsidRDefault="00064AF7" w:rsidP="00117BFD">
      <w:pPr>
        <w:spacing w:line="276" w:lineRule="auto"/>
        <w:rPr>
          <w:b/>
          <w:lang w:val="en-GB"/>
        </w:rPr>
      </w:pPr>
    </w:p>
    <w:p w:rsidR="000418E1" w:rsidRPr="00913267" w:rsidRDefault="000418E1" w:rsidP="00117BFD">
      <w:pPr>
        <w:spacing w:line="276" w:lineRule="auto"/>
        <w:rPr>
          <w:b/>
          <w:lang w:val="en-GB"/>
        </w:rPr>
      </w:pPr>
    </w:p>
    <w:p w:rsidR="000418E1" w:rsidRPr="00913267" w:rsidRDefault="000418E1" w:rsidP="00117BFD">
      <w:pPr>
        <w:spacing w:line="276" w:lineRule="auto"/>
        <w:rPr>
          <w:b/>
          <w:lang w:val="en-GB"/>
        </w:rPr>
      </w:pPr>
    </w:p>
    <w:p w:rsidR="00F445A5" w:rsidRPr="001C372E" w:rsidRDefault="001C372E" w:rsidP="001C372E">
      <w:pPr>
        <w:pStyle w:val="Heading1"/>
        <w:spacing w:line="276" w:lineRule="auto"/>
        <w:ind w:left="0"/>
        <w:rPr>
          <w:b w:val="0"/>
          <w:u w:val="single"/>
          <w:lang w:val="en-GB"/>
        </w:rPr>
      </w:pPr>
      <w:bookmarkStart w:id="5" w:name="_TOC_250005"/>
      <w:bookmarkStart w:id="6" w:name="_TOC_250004"/>
      <w:bookmarkEnd w:id="5"/>
      <w:r>
        <w:rPr>
          <w:b w:val="0"/>
          <w:u w:val="single"/>
          <w:lang w:val="en-GB"/>
        </w:rPr>
        <w:t>Views o</w:t>
      </w:r>
      <w:r w:rsidRPr="001C372E">
        <w:rPr>
          <w:b w:val="0"/>
          <w:u w:val="single"/>
          <w:lang w:val="en-GB"/>
        </w:rPr>
        <w:t>f Key</w:t>
      </w:r>
      <w:r w:rsidRPr="001C372E">
        <w:rPr>
          <w:b w:val="0"/>
          <w:spacing w:val="-2"/>
          <w:u w:val="single"/>
          <w:lang w:val="en-GB"/>
        </w:rPr>
        <w:t xml:space="preserve"> </w:t>
      </w:r>
      <w:bookmarkEnd w:id="6"/>
      <w:r w:rsidRPr="001C372E">
        <w:rPr>
          <w:b w:val="0"/>
          <w:u w:val="single"/>
          <w:lang w:val="en-GB"/>
        </w:rPr>
        <w:t>Stakeholders</w:t>
      </w:r>
    </w:p>
    <w:p w:rsidR="00F445A5" w:rsidRPr="001C372E" w:rsidRDefault="00F445A5" w:rsidP="001C372E">
      <w:pPr>
        <w:spacing w:line="276" w:lineRule="auto"/>
        <w:jc w:val="both"/>
        <w:rPr>
          <w:rFonts w:eastAsiaTheme="minorHAnsi"/>
          <w:color w:val="000000"/>
          <w:sz w:val="24"/>
          <w:szCs w:val="24"/>
          <w:lang w:val="en-GB"/>
        </w:rPr>
      </w:pPr>
    </w:p>
    <w:p w:rsidR="001C372E" w:rsidRDefault="001C372E" w:rsidP="001C372E">
      <w:pPr>
        <w:spacing w:line="276" w:lineRule="auto"/>
        <w:jc w:val="both"/>
        <w:rPr>
          <w:rFonts w:eastAsiaTheme="minorHAnsi"/>
          <w:color w:val="000000"/>
          <w:sz w:val="24"/>
          <w:szCs w:val="24"/>
          <w:lang w:val="en-GB"/>
        </w:rPr>
      </w:pPr>
      <w:r w:rsidRPr="001C372E">
        <w:rPr>
          <w:rFonts w:eastAsiaTheme="minorHAnsi"/>
          <w:color w:val="000000"/>
          <w:sz w:val="24"/>
          <w:szCs w:val="24"/>
          <w:lang w:val="en-GB"/>
        </w:rPr>
        <w:t xml:space="preserve">Harrow CCG </w:t>
      </w:r>
      <w:r>
        <w:rPr>
          <w:rFonts w:eastAsiaTheme="minorHAnsi"/>
          <w:color w:val="000000"/>
          <w:sz w:val="24"/>
          <w:szCs w:val="24"/>
          <w:lang w:val="en-GB"/>
        </w:rPr>
        <w:t xml:space="preserve">undertook a </w:t>
      </w:r>
      <w:r w:rsidRPr="001C372E">
        <w:rPr>
          <w:rFonts w:eastAsiaTheme="minorHAnsi"/>
          <w:color w:val="000000"/>
          <w:sz w:val="24"/>
          <w:szCs w:val="24"/>
          <w:lang w:val="en-GB"/>
        </w:rPr>
        <w:t xml:space="preserve">Dementia </w:t>
      </w:r>
      <w:proofErr w:type="spellStart"/>
      <w:r w:rsidRPr="001C372E">
        <w:rPr>
          <w:rFonts w:eastAsiaTheme="minorHAnsi"/>
          <w:color w:val="000000"/>
          <w:sz w:val="24"/>
          <w:szCs w:val="24"/>
          <w:lang w:val="en-GB"/>
        </w:rPr>
        <w:t>RightCare</w:t>
      </w:r>
      <w:proofErr w:type="spellEnd"/>
      <w:r w:rsidRPr="001C372E">
        <w:rPr>
          <w:rFonts w:eastAsiaTheme="minorHAnsi"/>
          <w:color w:val="000000"/>
          <w:sz w:val="24"/>
          <w:szCs w:val="24"/>
          <w:lang w:val="en-GB"/>
        </w:rPr>
        <w:t xml:space="preserve"> </w:t>
      </w:r>
      <w:r>
        <w:rPr>
          <w:rFonts w:eastAsiaTheme="minorHAnsi"/>
          <w:color w:val="000000"/>
          <w:sz w:val="24"/>
          <w:szCs w:val="24"/>
          <w:lang w:val="en-GB"/>
        </w:rPr>
        <w:t>‘</w:t>
      </w:r>
      <w:r w:rsidRPr="001C372E">
        <w:rPr>
          <w:rFonts w:eastAsiaTheme="minorHAnsi"/>
          <w:color w:val="000000"/>
          <w:sz w:val="24"/>
          <w:szCs w:val="24"/>
          <w:lang w:val="en-GB"/>
        </w:rPr>
        <w:t>Optimal Design Workshop</w:t>
      </w:r>
      <w:r>
        <w:rPr>
          <w:rFonts w:eastAsiaTheme="minorHAnsi"/>
          <w:color w:val="000000"/>
          <w:sz w:val="24"/>
          <w:szCs w:val="24"/>
          <w:lang w:val="en-GB"/>
        </w:rPr>
        <w:t>’ in September 2016. The feedback is included below which has informed delivery to-date and will continue to form part of the delivery plan going forward.</w:t>
      </w:r>
    </w:p>
    <w:p w:rsidR="001C372E" w:rsidRDefault="001C372E" w:rsidP="001C372E">
      <w:pPr>
        <w:spacing w:line="276" w:lineRule="auto"/>
        <w:jc w:val="both"/>
        <w:rPr>
          <w:rFonts w:eastAsiaTheme="minorHAnsi"/>
          <w:color w:val="000000"/>
          <w:sz w:val="24"/>
          <w:szCs w:val="24"/>
          <w:lang w:val="en-GB"/>
        </w:rPr>
      </w:pPr>
    </w:p>
    <w:tbl>
      <w:tblPr>
        <w:tblW w:w="5000" w:type="pct"/>
        <w:tblLayout w:type="fixed"/>
        <w:tblLook w:val="04A0" w:firstRow="1" w:lastRow="0" w:firstColumn="1" w:lastColumn="0" w:noHBand="0" w:noVBand="1"/>
      </w:tblPr>
      <w:tblGrid>
        <w:gridCol w:w="818"/>
        <w:gridCol w:w="2409"/>
        <w:gridCol w:w="2409"/>
        <w:gridCol w:w="2128"/>
        <w:gridCol w:w="1812"/>
      </w:tblGrid>
      <w:tr w:rsidR="000B0741" w:rsidRPr="00023AB8" w:rsidTr="000B0741">
        <w:trPr>
          <w:trHeight w:val="342"/>
        </w:trPr>
        <w:tc>
          <w:tcPr>
            <w:tcW w:w="5000" w:type="pct"/>
            <w:gridSpan w:val="5"/>
            <w:vMerge w:val="restart"/>
            <w:tcBorders>
              <w:top w:val="double" w:sz="4" w:space="0" w:color="auto"/>
              <w:left w:val="double" w:sz="4" w:space="0" w:color="auto"/>
              <w:bottom w:val="single" w:sz="4" w:space="0" w:color="000000"/>
              <w:right w:val="double" w:sz="4" w:space="0" w:color="auto"/>
            </w:tcBorders>
            <w:shd w:val="clear" w:color="auto" w:fill="DBE5F1" w:themeFill="accent1" w:themeFillTint="33"/>
            <w:vAlign w:val="center"/>
            <w:hideMark/>
          </w:tcPr>
          <w:p w:rsidR="000B0741" w:rsidRPr="00023AB8" w:rsidRDefault="001C372E" w:rsidP="000B0741">
            <w:pPr>
              <w:jc w:val="center"/>
              <w:rPr>
                <w:rFonts w:ascii="Calibri" w:eastAsia="Times New Roman" w:hAnsi="Calibri" w:cs="Calibri"/>
                <w:b/>
                <w:bCs/>
                <w:color w:val="000000"/>
                <w:sz w:val="16"/>
                <w:szCs w:val="12"/>
                <w:lang w:eastAsia="en-GB"/>
              </w:rPr>
            </w:pPr>
            <w:r w:rsidRPr="001C372E">
              <w:rPr>
                <w:rFonts w:eastAsiaTheme="minorHAnsi"/>
                <w:color w:val="000000"/>
                <w:sz w:val="24"/>
                <w:szCs w:val="24"/>
                <w:lang w:val="en-GB"/>
              </w:rPr>
              <w:br/>
            </w:r>
            <w:r w:rsidR="000B0741" w:rsidRPr="00023AB8">
              <w:rPr>
                <w:rFonts w:ascii="Calibri" w:eastAsia="Times New Roman" w:hAnsi="Calibri" w:cs="Calibri"/>
                <w:b/>
                <w:bCs/>
                <w:color w:val="000000"/>
                <w:sz w:val="20"/>
                <w:szCs w:val="12"/>
                <w:lang w:eastAsia="en-GB"/>
              </w:rPr>
              <w:t xml:space="preserve">Dementia </w:t>
            </w:r>
            <w:proofErr w:type="spellStart"/>
            <w:r w:rsidR="000B0741" w:rsidRPr="00023AB8">
              <w:rPr>
                <w:rFonts w:ascii="Calibri" w:eastAsia="Times New Roman" w:hAnsi="Calibri" w:cs="Calibri"/>
                <w:b/>
                <w:bCs/>
                <w:color w:val="000000"/>
                <w:sz w:val="20"/>
                <w:szCs w:val="12"/>
                <w:lang w:eastAsia="en-GB"/>
              </w:rPr>
              <w:t>RightCare</w:t>
            </w:r>
            <w:proofErr w:type="spellEnd"/>
            <w:r w:rsidR="000B0741" w:rsidRPr="00023AB8">
              <w:rPr>
                <w:rFonts w:ascii="Calibri" w:eastAsia="Times New Roman" w:hAnsi="Calibri" w:cs="Calibri"/>
                <w:b/>
                <w:bCs/>
                <w:color w:val="000000"/>
                <w:sz w:val="20"/>
                <w:szCs w:val="12"/>
                <w:lang w:eastAsia="en-GB"/>
              </w:rPr>
              <w:t xml:space="preserve"> - Optimal Design Workshop</w:t>
            </w:r>
            <w:r w:rsidR="000B0741" w:rsidRPr="00023AB8">
              <w:rPr>
                <w:rFonts w:ascii="Calibri" w:eastAsia="Times New Roman" w:hAnsi="Calibri" w:cs="Calibri"/>
                <w:b/>
                <w:bCs/>
                <w:color w:val="000000"/>
                <w:sz w:val="20"/>
                <w:szCs w:val="12"/>
                <w:lang w:eastAsia="en-GB"/>
              </w:rPr>
              <w:br/>
              <w:t>Feedback from stakeholders event held on 7 September 2016</w:t>
            </w:r>
          </w:p>
        </w:tc>
      </w:tr>
      <w:tr w:rsidR="000B0741" w:rsidRPr="00023AB8" w:rsidTr="000B0741">
        <w:trPr>
          <w:trHeight w:val="342"/>
        </w:trPr>
        <w:tc>
          <w:tcPr>
            <w:tcW w:w="5000" w:type="pct"/>
            <w:gridSpan w:val="5"/>
            <w:vMerge/>
            <w:tcBorders>
              <w:top w:val="nil"/>
              <w:left w:val="double" w:sz="4" w:space="0" w:color="auto"/>
              <w:bottom w:val="single" w:sz="4" w:space="0" w:color="000000"/>
              <w:right w:val="double" w:sz="4" w:space="0" w:color="auto"/>
            </w:tcBorders>
            <w:shd w:val="clear" w:color="auto" w:fill="DBE5F1" w:themeFill="accent1" w:themeFillTint="33"/>
            <w:vAlign w:val="center"/>
            <w:hideMark/>
          </w:tcPr>
          <w:p w:rsidR="000B0741" w:rsidRPr="00023AB8" w:rsidRDefault="000B0741" w:rsidP="000B0741">
            <w:pPr>
              <w:rPr>
                <w:rFonts w:ascii="Calibri" w:eastAsia="Times New Roman" w:hAnsi="Calibri" w:cs="Calibri"/>
                <w:b/>
                <w:bCs/>
                <w:color w:val="000000"/>
                <w:sz w:val="16"/>
                <w:szCs w:val="12"/>
                <w:lang w:eastAsia="en-GB"/>
              </w:rPr>
            </w:pPr>
          </w:p>
        </w:tc>
      </w:tr>
      <w:tr w:rsidR="000B0741" w:rsidRPr="004F7ECC" w:rsidTr="001C372E">
        <w:trPr>
          <w:trHeight w:val="20"/>
        </w:trPr>
        <w:tc>
          <w:tcPr>
            <w:tcW w:w="427" w:type="pct"/>
            <w:tcBorders>
              <w:top w:val="nil"/>
              <w:left w:val="double" w:sz="4" w:space="0" w:color="auto"/>
              <w:bottom w:val="single" w:sz="4" w:space="0" w:color="auto"/>
              <w:right w:val="single" w:sz="4" w:space="0" w:color="auto"/>
            </w:tcBorders>
            <w:shd w:val="clear" w:color="auto" w:fill="FFFFFF" w:themeFill="background1"/>
            <w:noWrap/>
            <w:vAlign w:val="bottom"/>
            <w:hideMark/>
          </w:tcPr>
          <w:p w:rsidR="000B0741" w:rsidRPr="00023AB8" w:rsidRDefault="000B0741" w:rsidP="000B0741">
            <w:pPr>
              <w:rPr>
                <w:rFonts w:ascii="Calibri" w:eastAsia="Times New Roman" w:hAnsi="Calibri" w:cs="Calibri"/>
                <w:color w:val="000000"/>
                <w:sz w:val="18"/>
                <w:szCs w:val="12"/>
                <w:lang w:eastAsia="en-GB"/>
              </w:rPr>
            </w:pPr>
            <w:r w:rsidRPr="00023AB8">
              <w:rPr>
                <w:rFonts w:ascii="Calibri" w:eastAsia="Times New Roman" w:hAnsi="Calibri" w:cs="Calibri"/>
                <w:color w:val="000000"/>
                <w:sz w:val="18"/>
                <w:szCs w:val="12"/>
                <w:lang w:eastAsia="en-GB"/>
              </w:rPr>
              <w:t> </w:t>
            </w:r>
          </w:p>
        </w:tc>
        <w:tc>
          <w:tcPr>
            <w:tcW w:w="1258"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jc w:val="center"/>
              <w:rPr>
                <w:rFonts w:ascii="Calibri" w:eastAsia="Times New Roman" w:hAnsi="Calibri" w:cs="Calibri"/>
                <w:b/>
                <w:bCs/>
                <w:color w:val="000000"/>
                <w:sz w:val="18"/>
                <w:szCs w:val="12"/>
                <w:lang w:eastAsia="en-GB"/>
              </w:rPr>
            </w:pPr>
            <w:r w:rsidRPr="00023AB8">
              <w:rPr>
                <w:rFonts w:ascii="Calibri" w:eastAsia="Times New Roman" w:hAnsi="Calibri" w:cs="Calibri"/>
                <w:b/>
                <w:bCs/>
                <w:color w:val="000000"/>
                <w:sz w:val="18"/>
                <w:szCs w:val="12"/>
                <w:lang w:eastAsia="en-GB"/>
              </w:rPr>
              <w:t>What, if any, changes were suggested by the group</w:t>
            </w:r>
          </w:p>
        </w:tc>
        <w:tc>
          <w:tcPr>
            <w:tcW w:w="1258"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jc w:val="center"/>
              <w:rPr>
                <w:rFonts w:ascii="Calibri" w:eastAsia="Times New Roman" w:hAnsi="Calibri" w:cs="Calibri"/>
                <w:b/>
                <w:bCs/>
                <w:color w:val="000000"/>
                <w:sz w:val="18"/>
                <w:szCs w:val="12"/>
                <w:lang w:eastAsia="en-GB"/>
              </w:rPr>
            </w:pPr>
            <w:r w:rsidRPr="00023AB8">
              <w:rPr>
                <w:rFonts w:ascii="Calibri" w:eastAsia="Times New Roman" w:hAnsi="Calibri" w:cs="Calibri"/>
                <w:b/>
                <w:bCs/>
                <w:color w:val="000000"/>
                <w:sz w:val="18"/>
                <w:szCs w:val="12"/>
                <w:lang w:eastAsia="en-GB"/>
              </w:rPr>
              <w:t>How should these suggested changes be implemented</w:t>
            </w:r>
          </w:p>
        </w:tc>
        <w:tc>
          <w:tcPr>
            <w:tcW w:w="1111"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jc w:val="center"/>
              <w:rPr>
                <w:rFonts w:ascii="Calibri" w:eastAsia="Times New Roman" w:hAnsi="Calibri" w:cs="Calibri"/>
                <w:b/>
                <w:bCs/>
                <w:color w:val="000000"/>
                <w:sz w:val="18"/>
                <w:szCs w:val="12"/>
                <w:lang w:eastAsia="en-GB"/>
              </w:rPr>
            </w:pPr>
            <w:r w:rsidRPr="00023AB8">
              <w:rPr>
                <w:rFonts w:ascii="Calibri" w:eastAsia="Times New Roman" w:hAnsi="Calibri" w:cs="Calibri"/>
                <w:b/>
                <w:bCs/>
                <w:color w:val="000000"/>
                <w:sz w:val="18"/>
                <w:szCs w:val="12"/>
                <w:lang w:eastAsia="en-GB"/>
              </w:rPr>
              <w:t xml:space="preserve">What, if any, resources or information are required to implement suggested changes </w:t>
            </w:r>
          </w:p>
        </w:tc>
        <w:tc>
          <w:tcPr>
            <w:tcW w:w="946" w:type="pct"/>
            <w:tcBorders>
              <w:top w:val="nil"/>
              <w:left w:val="nil"/>
              <w:bottom w:val="single" w:sz="4" w:space="0" w:color="auto"/>
              <w:right w:val="double" w:sz="4" w:space="0" w:color="auto"/>
            </w:tcBorders>
            <w:shd w:val="clear" w:color="auto" w:fill="FFFFFF" w:themeFill="background1"/>
            <w:hideMark/>
          </w:tcPr>
          <w:p w:rsidR="000B0741" w:rsidRPr="00023AB8" w:rsidRDefault="000B0741" w:rsidP="000B0741">
            <w:pPr>
              <w:jc w:val="center"/>
              <w:rPr>
                <w:rFonts w:ascii="Calibri" w:eastAsia="Times New Roman" w:hAnsi="Calibri" w:cs="Calibri"/>
                <w:b/>
                <w:bCs/>
                <w:color w:val="000000"/>
                <w:sz w:val="18"/>
                <w:szCs w:val="12"/>
                <w:lang w:eastAsia="en-GB"/>
              </w:rPr>
            </w:pPr>
            <w:r w:rsidRPr="00023AB8">
              <w:rPr>
                <w:rFonts w:ascii="Calibri" w:eastAsia="Times New Roman" w:hAnsi="Calibri" w:cs="Calibri"/>
                <w:b/>
                <w:bCs/>
                <w:color w:val="000000"/>
                <w:sz w:val="18"/>
                <w:szCs w:val="12"/>
                <w:lang w:eastAsia="en-GB"/>
              </w:rPr>
              <w:t xml:space="preserve">What could be the impact of these suggested changes </w:t>
            </w:r>
          </w:p>
        </w:tc>
      </w:tr>
      <w:tr w:rsidR="000B0741" w:rsidRPr="00023AB8" w:rsidTr="001C372E">
        <w:trPr>
          <w:cantSplit/>
          <w:trHeight w:val="1134"/>
        </w:trPr>
        <w:tc>
          <w:tcPr>
            <w:tcW w:w="427" w:type="pct"/>
            <w:tcBorders>
              <w:top w:val="nil"/>
              <w:left w:val="double" w:sz="4" w:space="0" w:color="auto"/>
              <w:bottom w:val="single" w:sz="4" w:space="0" w:color="auto"/>
              <w:right w:val="single" w:sz="4" w:space="0" w:color="auto"/>
            </w:tcBorders>
            <w:shd w:val="clear" w:color="auto" w:fill="DBE5F1" w:themeFill="accent1" w:themeFillTint="33"/>
            <w:textDirection w:val="tbRl"/>
            <w:vAlign w:val="center"/>
            <w:hideMark/>
          </w:tcPr>
          <w:p w:rsidR="000B0741" w:rsidRPr="00023AB8" w:rsidRDefault="000B0741" w:rsidP="000B0741">
            <w:pPr>
              <w:ind w:left="113" w:right="113"/>
              <w:jc w:val="center"/>
              <w:rPr>
                <w:rFonts w:ascii="Calibri" w:eastAsia="Times New Roman" w:hAnsi="Calibri" w:cs="Calibri"/>
                <w:b/>
                <w:bCs/>
                <w:color w:val="000000"/>
                <w:sz w:val="24"/>
                <w:szCs w:val="12"/>
                <w:lang w:eastAsia="en-GB"/>
              </w:rPr>
            </w:pPr>
            <w:r w:rsidRPr="00023AB8">
              <w:rPr>
                <w:rFonts w:ascii="Calibri" w:eastAsia="Times New Roman" w:hAnsi="Calibri" w:cs="Calibri"/>
                <w:b/>
                <w:bCs/>
                <w:color w:val="000000"/>
                <w:sz w:val="24"/>
                <w:szCs w:val="12"/>
                <w:lang w:eastAsia="en-GB"/>
              </w:rPr>
              <w:t>Preventing Well</w:t>
            </w:r>
          </w:p>
        </w:tc>
        <w:tc>
          <w:tcPr>
            <w:tcW w:w="1258" w:type="pct"/>
            <w:tcBorders>
              <w:top w:val="nil"/>
              <w:left w:val="nil"/>
              <w:bottom w:val="single" w:sz="4" w:space="0" w:color="auto"/>
              <w:right w:val="single" w:sz="4" w:space="0" w:color="auto"/>
            </w:tcBorders>
            <w:shd w:val="clear" w:color="auto" w:fill="DBE5F1" w:themeFill="accent1" w:themeFillTint="33"/>
            <w:hideMark/>
          </w:tcPr>
          <w:p w:rsidR="000B0741" w:rsidRPr="00023AB8" w:rsidRDefault="000B0741" w:rsidP="000B0741">
            <w:pPr>
              <w:spacing w:after="240"/>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Early identification and risk scoring with 30’s, 40’s and 50’s amongst high risk groups</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Parkinson’s, vascular risks;</w:t>
            </w:r>
            <w:r w:rsidRPr="00023AB8">
              <w:rPr>
                <w:rFonts w:ascii="Calibri" w:eastAsia="Times New Roman" w:hAnsi="Calibri" w:cs="Calibri"/>
                <w:color w:val="000000"/>
                <w:sz w:val="16"/>
                <w:szCs w:val="12"/>
                <w:lang w:eastAsia="en-GB"/>
              </w:rPr>
              <w:br/>
              <w:t>▪ Current drugs of value?</w:t>
            </w:r>
            <w:r w:rsidRPr="00023AB8">
              <w:rPr>
                <w:rFonts w:ascii="Calibri" w:eastAsia="Times New Roman" w:hAnsi="Calibri" w:cs="Calibri"/>
                <w:color w:val="000000"/>
                <w:sz w:val="16"/>
                <w:szCs w:val="12"/>
                <w:lang w:eastAsia="en-GB"/>
              </w:rPr>
              <w:br/>
              <w:t>▪ Better to focus on awareness</w:t>
            </w:r>
            <w:r>
              <w:rPr>
                <w:rFonts w:ascii="Calibri" w:eastAsia="Times New Roman" w:hAnsi="Calibri" w:cs="Calibri"/>
                <w:color w:val="000000"/>
                <w:sz w:val="16"/>
                <w:szCs w:val="12"/>
                <w:lang w:eastAsia="en-GB"/>
              </w:rPr>
              <w:t xml:space="preserve"> </w:t>
            </w:r>
            <w:r w:rsidRPr="00023AB8">
              <w:rPr>
                <w:rFonts w:ascii="Calibri" w:eastAsia="Times New Roman" w:hAnsi="Calibri" w:cs="Calibri"/>
                <w:color w:val="000000"/>
                <w:sz w:val="16"/>
                <w:szCs w:val="12"/>
                <w:lang w:eastAsia="en-GB"/>
              </w:rPr>
              <w:t xml:space="preserve">  and trigger points i.e. age group</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Having a stand-alone memory service for people to independently access support where necessary.</w:t>
            </w:r>
            <w:r w:rsidRPr="00023AB8">
              <w:rPr>
                <w:rFonts w:ascii="Calibri" w:eastAsia="Times New Roman" w:hAnsi="Calibri" w:cs="Calibri"/>
                <w:color w:val="000000"/>
                <w:sz w:val="16"/>
                <w:szCs w:val="12"/>
                <w:lang w:eastAsia="en-GB"/>
              </w:rPr>
              <w:br/>
            </w:r>
          </w:p>
        </w:tc>
        <w:tc>
          <w:tcPr>
            <w:tcW w:w="1258" w:type="pct"/>
            <w:tcBorders>
              <w:top w:val="nil"/>
              <w:left w:val="nil"/>
              <w:bottom w:val="single" w:sz="4" w:space="0" w:color="auto"/>
              <w:right w:val="single" w:sz="4" w:space="0" w:color="auto"/>
            </w:tcBorders>
            <w:shd w:val="clear" w:color="auto" w:fill="DBE5F1" w:themeFill="accent1" w:themeFillTint="33"/>
            <w:hideMark/>
          </w:tcPr>
          <w:p w:rsidR="000B0741"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Wider stakeholder engagement and awareness raising</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Strengthen link between research and practice;</w:t>
            </w:r>
            <w:r w:rsidRPr="00023AB8">
              <w:rPr>
                <w:rFonts w:ascii="Calibri" w:eastAsia="Times New Roman" w:hAnsi="Calibri" w:cs="Calibri"/>
                <w:color w:val="000000"/>
                <w:sz w:val="16"/>
                <w:szCs w:val="12"/>
                <w:lang w:eastAsia="en-GB"/>
              </w:rPr>
              <w:br/>
              <w:t>▪ More support available in the community to tackle social barrier and stigma;</w:t>
            </w:r>
            <w:r w:rsidRPr="00023AB8">
              <w:rPr>
                <w:rFonts w:ascii="Calibri" w:eastAsia="Times New Roman" w:hAnsi="Calibri" w:cs="Calibri"/>
                <w:color w:val="000000"/>
                <w:sz w:val="16"/>
                <w:szCs w:val="12"/>
                <w:lang w:eastAsia="en-GB"/>
              </w:rPr>
              <w:br/>
              <w:t>▪ Better support systems to promote healthy living and independence;</w:t>
            </w:r>
            <w:r w:rsidRPr="00023AB8">
              <w:rPr>
                <w:rFonts w:ascii="Calibri" w:eastAsia="Times New Roman" w:hAnsi="Calibri" w:cs="Calibri"/>
                <w:color w:val="000000"/>
                <w:sz w:val="16"/>
                <w:szCs w:val="12"/>
                <w:lang w:eastAsia="en-GB"/>
              </w:rPr>
              <w:br/>
              <w:t xml:space="preserve">▪ Work with employers to raise awareness and enhance support system. </w:t>
            </w:r>
          </w:p>
          <w:p w:rsidR="000B0741" w:rsidRPr="00023AB8" w:rsidRDefault="000B0741" w:rsidP="000B0741">
            <w:pPr>
              <w:rPr>
                <w:rFonts w:ascii="Calibri" w:eastAsia="Times New Roman" w:hAnsi="Calibri" w:cs="Calibri"/>
                <w:color w:val="000000"/>
                <w:sz w:val="16"/>
                <w:szCs w:val="12"/>
                <w:lang w:eastAsia="en-GB"/>
              </w:rPr>
            </w:pPr>
          </w:p>
        </w:tc>
        <w:tc>
          <w:tcPr>
            <w:tcW w:w="1111" w:type="pct"/>
            <w:tcBorders>
              <w:top w:val="nil"/>
              <w:left w:val="nil"/>
              <w:bottom w:val="single" w:sz="4" w:space="0" w:color="auto"/>
              <w:right w:val="sing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More investment on awareness raising; </w:t>
            </w:r>
            <w:r w:rsidRPr="00023AB8">
              <w:rPr>
                <w:rFonts w:ascii="Calibri" w:eastAsia="Times New Roman" w:hAnsi="Calibri" w:cs="Calibri"/>
                <w:color w:val="000000"/>
                <w:sz w:val="16"/>
                <w:szCs w:val="12"/>
                <w:lang w:eastAsia="en-GB"/>
              </w:rPr>
              <w:br/>
              <w:t>▪ High vascular risk prevention</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More social care focus on prevention.</w:t>
            </w:r>
          </w:p>
        </w:tc>
        <w:tc>
          <w:tcPr>
            <w:tcW w:w="946" w:type="pct"/>
            <w:tcBorders>
              <w:top w:val="nil"/>
              <w:left w:val="nil"/>
              <w:bottom w:val="single" w:sz="4" w:space="0" w:color="auto"/>
              <w:right w:val="doub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Early identification</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xml:space="preserve">▪ Early detection; </w:t>
            </w:r>
            <w:r w:rsidRPr="00023AB8">
              <w:rPr>
                <w:rFonts w:ascii="Calibri" w:eastAsia="Times New Roman" w:hAnsi="Calibri" w:cs="Calibri"/>
                <w:color w:val="000000"/>
                <w:sz w:val="16"/>
                <w:szCs w:val="12"/>
                <w:lang w:eastAsia="en-GB"/>
              </w:rPr>
              <w:br/>
              <w:t>▪ Intergenerational work.</w:t>
            </w:r>
          </w:p>
        </w:tc>
      </w:tr>
      <w:tr w:rsidR="000B0741" w:rsidRPr="00023AB8" w:rsidTr="001C372E">
        <w:trPr>
          <w:cantSplit/>
          <w:trHeight w:val="1134"/>
        </w:trPr>
        <w:tc>
          <w:tcPr>
            <w:tcW w:w="427" w:type="pct"/>
            <w:tcBorders>
              <w:top w:val="nil"/>
              <w:left w:val="double" w:sz="4" w:space="0" w:color="auto"/>
              <w:bottom w:val="single" w:sz="4" w:space="0" w:color="auto"/>
              <w:right w:val="single" w:sz="4" w:space="0" w:color="auto"/>
            </w:tcBorders>
            <w:shd w:val="clear" w:color="auto" w:fill="FFFFFF" w:themeFill="background1"/>
            <w:textDirection w:val="tbRl"/>
            <w:vAlign w:val="center"/>
            <w:hideMark/>
          </w:tcPr>
          <w:p w:rsidR="000B0741" w:rsidRPr="00023AB8" w:rsidRDefault="000B0741" w:rsidP="000B0741">
            <w:pPr>
              <w:ind w:left="113" w:right="113"/>
              <w:jc w:val="center"/>
              <w:rPr>
                <w:rFonts w:ascii="Calibri" w:eastAsia="Times New Roman" w:hAnsi="Calibri" w:cs="Calibri"/>
                <w:b/>
                <w:bCs/>
                <w:color w:val="000000"/>
                <w:sz w:val="24"/>
                <w:szCs w:val="12"/>
                <w:lang w:eastAsia="en-GB"/>
              </w:rPr>
            </w:pPr>
            <w:r w:rsidRPr="00023AB8">
              <w:rPr>
                <w:rFonts w:ascii="Calibri" w:eastAsia="Times New Roman" w:hAnsi="Calibri" w:cs="Calibri"/>
                <w:b/>
                <w:bCs/>
                <w:color w:val="000000"/>
                <w:sz w:val="24"/>
                <w:szCs w:val="12"/>
                <w:lang w:eastAsia="en-GB"/>
              </w:rPr>
              <w:t>Diagnosing Well</w:t>
            </w:r>
          </w:p>
        </w:tc>
        <w:tc>
          <w:tcPr>
            <w:tcW w:w="1258"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 A link worker to support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throughout their journey e.g. highly skilled Admiral Nurses or Enhanced Practice Nurses to ensure a person-</w:t>
            </w:r>
            <w:proofErr w:type="spellStart"/>
            <w:r w:rsidRPr="00023AB8">
              <w:rPr>
                <w:rFonts w:ascii="Calibri" w:eastAsia="Times New Roman" w:hAnsi="Calibri" w:cs="Calibri"/>
                <w:color w:val="000000"/>
                <w:sz w:val="16"/>
                <w:szCs w:val="12"/>
                <w:lang w:eastAsia="en-GB"/>
              </w:rPr>
              <w:t>centred</w:t>
            </w:r>
            <w:proofErr w:type="spellEnd"/>
            <w:r w:rsidRPr="00023AB8">
              <w:rPr>
                <w:rFonts w:ascii="Calibri" w:eastAsia="Times New Roman" w:hAnsi="Calibri" w:cs="Calibri"/>
                <w:color w:val="000000"/>
                <w:sz w:val="16"/>
                <w:szCs w:val="12"/>
                <w:lang w:eastAsia="en-GB"/>
              </w:rPr>
              <w:t xml:space="preserve"> and </w:t>
            </w:r>
            <w:proofErr w:type="spellStart"/>
            <w:r w:rsidRPr="00023AB8">
              <w:rPr>
                <w:rFonts w:ascii="Calibri" w:eastAsia="Times New Roman" w:hAnsi="Calibri" w:cs="Calibri"/>
                <w:color w:val="000000"/>
                <w:sz w:val="16"/>
                <w:szCs w:val="12"/>
                <w:lang w:eastAsia="en-GB"/>
              </w:rPr>
              <w:t>individualised</w:t>
            </w:r>
            <w:proofErr w:type="spellEnd"/>
            <w:r w:rsidRPr="00023AB8">
              <w:rPr>
                <w:rFonts w:ascii="Calibri" w:eastAsia="Times New Roman" w:hAnsi="Calibri" w:cs="Calibri"/>
                <w:color w:val="000000"/>
                <w:sz w:val="16"/>
                <w:szCs w:val="12"/>
                <w:lang w:eastAsia="en-GB"/>
              </w:rPr>
              <w:t xml:space="preserve"> care</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Memory Assessment Service to provide support pre and post diagnosis;</w:t>
            </w:r>
            <w:r w:rsidRPr="00023AB8">
              <w:rPr>
                <w:rFonts w:ascii="Calibri" w:eastAsia="Times New Roman" w:hAnsi="Calibri" w:cs="Calibri"/>
                <w:color w:val="000000"/>
                <w:sz w:val="16"/>
                <w:szCs w:val="12"/>
                <w:lang w:eastAsia="en-GB"/>
              </w:rPr>
              <w:br/>
              <w:t>▪ More coordinated and integrated care involving social care and the voluntary sector in supporting patients and families with a dementia diagnosis;</w:t>
            </w:r>
            <w:r w:rsidRPr="00023AB8">
              <w:rPr>
                <w:rFonts w:ascii="Calibri" w:eastAsia="Times New Roman" w:hAnsi="Calibri" w:cs="Calibri"/>
                <w:color w:val="000000"/>
                <w:sz w:val="16"/>
                <w:szCs w:val="12"/>
                <w:lang w:eastAsia="en-GB"/>
              </w:rPr>
              <w:br/>
              <w:t xml:space="preserve">▪  </w:t>
            </w:r>
            <w:r w:rsidRPr="00023AB8">
              <w:rPr>
                <w:rFonts w:ascii="Calibri" w:eastAsia="Times New Roman" w:hAnsi="Calibri" w:cs="Calibri"/>
                <w:b/>
                <w:bCs/>
                <w:color w:val="000000"/>
                <w:sz w:val="16"/>
                <w:szCs w:val="12"/>
                <w:lang w:eastAsia="en-GB"/>
              </w:rPr>
              <w:t>Please refer to flowchart for suggested framework.</w:t>
            </w:r>
          </w:p>
        </w:tc>
        <w:tc>
          <w:tcPr>
            <w:tcW w:w="1258"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Develop care pathway for those at high risk of developing dementia; </w:t>
            </w:r>
            <w:r w:rsidRPr="00023AB8">
              <w:rPr>
                <w:rFonts w:ascii="Calibri" w:eastAsia="Times New Roman" w:hAnsi="Calibri" w:cs="Calibri"/>
                <w:color w:val="000000"/>
                <w:sz w:val="16"/>
                <w:szCs w:val="12"/>
                <w:lang w:eastAsia="en-GB"/>
              </w:rPr>
              <w:br/>
              <w:t>▪ Develop and maintain robust process of communication amongst professionals</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Recruit or make use of nurses to take on the role of link workers to coordinate patient care throughout their journey;</w:t>
            </w:r>
            <w:r w:rsidRPr="00023AB8">
              <w:rPr>
                <w:rFonts w:ascii="Calibri" w:eastAsia="Times New Roman" w:hAnsi="Calibri" w:cs="Calibri"/>
                <w:color w:val="000000"/>
                <w:sz w:val="16"/>
                <w:szCs w:val="12"/>
                <w:lang w:eastAsia="en-GB"/>
              </w:rPr>
              <w:br/>
              <w:t>▪ Provide regular health checks and dementia screening for those at risk and with long-term conditions;</w:t>
            </w:r>
            <w:r w:rsidRPr="00023AB8">
              <w:rPr>
                <w:rFonts w:ascii="Calibri" w:eastAsia="Times New Roman" w:hAnsi="Calibri" w:cs="Calibri"/>
                <w:color w:val="000000"/>
                <w:sz w:val="16"/>
                <w:szCs w:val="12"/>
                <w:lang w:eastAsia="en-GB"/>
              </w:rPr>
              <w:br/>
              <w:t>▪  Enhance existing Memory Assessment Service to support patients pre and post-diagnosis.</w:t>
            </w:r>
          </w:p>
        </w:tc>
        <w:tc>
          <w:tcPr>
            <w:tcW w:w="1111" w:type="pct"/>
            <w:tcBorders>
              <w:top w:val="nil"/>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Tailored training for healthcare professionals to raise awareness and understanding of the pathway;</w:t>
            </w:r>
            <w:r w:rsidRPr="00023AB8">
              <w:rPr>
                <w:rFonts w:ascii="Calibri" w:eastAsia="Times New Roman" w:hAnsi="Calibri" w:cs="Calibri"/>
                <w:color w:val="000000"/>
                <w:sz w:val="16"/>
                <w:szCs w:val="12"/>
                <w:lang w:eastAsia="en-GB"/>
              </w:rPr>
              <w:br/>
              <w:t>▪ Create capacity to restructure the pathway;</w:t>
            </w:r>
            <w:r w:rsidRPr="00023AB8">
              <w:rPr>
                <w:rFonts w:ascii="Calibri" w:eastAsia="Times New Roman" w:hAnsi="Calibri" w:cs="Calibri"/>
                <w:color w:val="000000"/>
                <w:sz w:val="16"/>
                <w:szCs w:val="12"/>
                <w:lang w:eastAsia="en-GB"/>
              </w:rPr>
              <w:br/>
              <w:t>▪ A system for health professionals to communicate, integrate and coordinate care;</w:t>
            </w:r>
            <w:r w:rsidRPr="00023AB8">
              <w:rPr>
                <w:rFonts w:ascii="Calibri" w:eastAsia="Times New Roman" w:hAnsi="Calibri" w:cs="Calibri"/>
                <w:color w:val="000000"/>
                <w:sz w:val="16"/>
                <w:szCs w:val="12"/>
                <w:lang w:eastAsia="en-GB"/>
              </w:rPr>
              <w:br/>
              <w:t>▪ Better use and support from community services and voluntary sectors.</w:t>
            </w:r>
          </w:p>
        </w:tc>
        <w:tc>
          <w:tcPr>
            <w:tcW w:w="946" w:type="pct"/>
            <w:tcBorders>
              <w:top w:val="nil"/>
              <w:left w:val="nil"/>
              <w:bottom w:val="single" w:sz="4" w:space="0" w:color="auto"/>
              <w:right w:val="doub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Improved diagnosis;</w:t>
            </w:r>
            <w:r w:rsidRPr="00023AB8">
              <w:rPr>
                <w:rFonts w:ascii="Calibri" w:eastAsia="Times New Roman" w:hAnsi="Calibri" w:cs="Calibri"/>
                <w:color w:val="000000"/>
                <w:sz w:val="16"/>
                <w:szCs w:val="12"/>
                <w:lang w:eastAsia="en-GB"/>
              </w:rPr>
              <w:br/>
              <w:t>▪ Early detection and more tailored intervention;</w:t>
            </w:r>
            <w:r w:rsidRPr="00023AB8">
              <w:rPr>
                <w:rFonts w:ascii="Calibri" w:eastAsia="Times New Roman" w:hAnsi="Calibri" w:cs="Calibri"/>
                <w:color w:val="000000"/>
                <w:sz w:val="16"/>
                <w:szCs w:val="12"/>
                <w:lang w:eastAsia="en-GB"/>
              </w:rPr>
              <w:br/>
              <w:t xml:space="preserve">▪ Better support offered to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 xml:space="preserve">▪ Coordinated and person </w:t>
            </w:r>
            <w:proofErr w:type="spellStart"/>
            <w:r w:rsidRPr="00023AB8">
              <w:rPr>
                <w:rFonts w:ascii="Calibri" w:eastAsia="Times New Roman" w:hAnsi="Calibri" w:cs="Calibri"/>
                <w:color w:val="000000"/>
                <w:sz w:val="16"/>
                <w:szCs w:val="12"/>
                <w:lang w:eastAsia="en-GB"/>
              </w:rPr>
              <w:t>centred</w:t>
            </w:r>
            <w:proofErr w:type="spellEnd"/>
            <w:r w:rsidRPr="00023AB8">
              <w:rPr>
                <w:rFonts w:ascii="Calibri" w:eastAsia="Times New Roman" w:hAnsi="Calibri" w:cs="Calibri"/>
                <w:color w:val="000000"/>
                <w:sz w:val="16"/>
                <w:szCs w:val="12"/>
                <w:lang w:eastAsia="en-GB"/>
              </w:rPr>
              <w:t xml:space="preserve"> care and support provided;</w:t>
            </w:r>
            <w:r w:rsidRPr="00023AB8">
              <w:rPr>
                <w:rFonts w:ascii="Calibri" w:eastAsia="Times New Roman" w:hAnsi="Calibri" w:cs="Calibri"/>
                <w:color w:val="000000"/>
                <w:sz w:val="16"/>
                <w:szCs w:val="12"/>
                <w:lang w:eastAsia="en-GB"/>
              </w:rPr>
              <w:br/>
              <w:t>▪ Improved value to the population of Harrow.</w:t>
            </w:r>
          </w:p>
        </w:tc>
      </w:tr>
      <w:tr w:rsidR="000B0741" w:rsidRPr="00023AB8" w:rsidTr="001C372E">
        <w:trPr>
          <w:cantSplit/>
          <w:trHeight w:val="1134"/>
        </w:trPr>
        <w:tc>
          <w:tcPr>
            <w:tcW w:w="427" w:type="pct"/>
            <w:tcBorders>
              <w:top w:val="nil"/>
              <w:left w:val="double" w:sz="4" w:space="0" w:color="auto"/>
              <w:bottom w:val="double" w:sz="4" w:space="0" w:color="auto"/>
              <w:right w:val="single" w:sz="4" w:space="0" w:color="auto"/>
            </w:tcBorders>
            <w:shd w:val="clear" w:color="auto" w:fill="DBE5F1" w:themeFill="accent1" w:themeFillTint="33"/>
            <w:textDirection w:val="tbRl"/>
            <w:vAlign w:val="center"/>
            <w:hideMark/>
          </w:tcPr>
          <w:p w:rsidR="000B0741" w:rsidRPr="00023AB8" w:rsidRDefault="000B0741" w:rsidP="000B0741">
            <w:pPr>
              <w:ind w:left="113" w:right="113"/>
              <w:jc w:val="center"/>
              <w:rPr>
                <w:rFonts w:ascii="Calibri" w:eastAsia="Times New Roman" w:hAnsi="Calibri" w:cs="Calibri"/>
                <w:b/>
                <w:bCs/>
                <w:color w:val="000000"/>
                <w:sz w:val="24"/>
                <w:szCs w:val="12"/>
                <w:lang w:eastAsia="en-GB"/>
              </w:rPr>
            </w:pPr>
            <w:r w:rsidRPr="00023AB8">
              <w:rPr>
                <w:rFonts w:ascii="Calibri" w:eastAsia="Times New Roman" w:hAnsi="Calibri" w:cs="Calibri"/>
                <w:b/>
                <w:bCs/>
                <w:color w:val="000000"/>
                <w:sz w:val="24"/>
                <w:szCs w:val="12"/>
                <w:lang w:eastAsia="en-GB"/>
              </w:rPr>
              <w:t>Living Well with Dementia and Planning ahead</w:t>
            </w:r>
          </w:p>
        </w:tc>
        <w:tc>
          <w:tcPr>
            <w:tcW w:w="1258" w:type="pct"/>
            <w:tcBorders>
              <w:top w:val="nil"/>
              <w:left w:val="nil"/>
              <w:bottom w:val="double" w:sz="4" w:space="0" w:color="auto"/>
              <w:right w:val="sing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Use of Admiral Nurses for advice, practical and emotional support as early as possible;</w:t>
            </w:r>
            <w:r w:rsidRPr="00023AB8">
              <w:rPr>
                <w:rFonts w:ascii="Calibri" w:eastAsia="Times New Roman" w:hAnsi="Calibri" w:cs="Calibri"/>
                <w:color w:val="000000"/>
                <w:sz w:val="16"/>
                <w:szCs w:val="12"/>
                <w:lang w:eastAsia="en-GB"/>
              </w:rPr>
              <w:br/>
              <w:t>▪ Integrate services and support available in the community;</w:t>
            </w:r>
            <w:r w:rsidRPr="00023AB8">
              <w:rPr>
                <w:rFonts w:ascii="Calibri" w:eastAsia="Times New Roman" w:hAnsi="Calibri" w:cs="Calibri"/>
                <w:color w:val="000000"/>
                <w:sz w:val="16"/>
                <w:szCs w:val="12"/>
                <w:lang w:eastAsia="en-GB"/>
              </w:rPr>
              <w:br/>
              <w:t xml:space="preserve">▪ Information, advice and support more readily available to patients,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professionals;</w:t>
            </w:r>
            <w:r w:rsidRPr="00023AB8">
              <w:rPr>
                <w:rFonts w:ascii="Calibri" w:eastAsia="Times New Roman" w:hAnsi="Calibri" w:cs="Calibri"/>
                <w:color w:val="000000"/>
                <w:sz w:val="16"/>
                <w:szCs w:val="12"/>
                <w:lang w:eastAsia="en-GB"/>
              </w:rPr>
              <w:br/>
              <w:t xml:space="preserve">▪ Mapped services and pathway to allow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professionals to navigate the care and health system;</w:t>
            </w:r>
            <w:r w:rsidRPr="00023AB8">
              <w:rPr>
                <w:rFonts w:ascii="Calibri" w:eastAsia="Times New Roman" w:hAnsi="Calibri" w:cs="Calibri"/>
                <w:color w:val="000000"/>
                <w:sz w:val="16"/>
                <w:szCs w:val="12"/>
                <w:lang w:eastAsia="en-GB"/>
              </w:rPr>
              <w:br/>
              <w:t xml:space="preserve">▪ Involvement of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case manager in planning for the future and preparing for future eventualities;</w:t>
            </w:r>
            <w:r w:rsidRPr="00023AB8">
              <w:rPr>
                <w:rFonts w:ascii="Calibri" w:eastAsia="Times New Roman" w:hAnsi="Calibri" w:cs="Calibri"/>
                <w:color w:val="000000"/>
                <w:sz w:val="16"/>
                <w:szCs w:val="12"/>
                <w:lang w:eastAsia="en-GB"/>
              </w:rPr>
              <w:br/>
              <w:t>▪ Advice and support available early enough to support patients' and their families to plan ahead and prepare for the future.</w:t>
            </w:r>
          </w:p>
        </w:tc>
        <w:tc>
          <w:tcPr>
            <w:tcW w:w="1258" w:type="pct"/>
            <w:tcBorders>
              <w:top w:val="nil"/>
              <w:left w:val="nil"/>
              <w:bottom w:val="double" w:sz="4" w:space="0" w:color="auto"/>
              <w:right w:val="sing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Package of care/support agreed and formulated with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reviewed regularly</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Care package coordinated by the care navigator;</w:t>
            </w:r>
            <w:r w:rsidRPr="00023AB8">
              <w:rPr>
                <w:rFonts w:ascii="Calibri" w:eastAsia="Times New Roman" w:hAnsi="Calibri" w:cs="Calibri"/>
                <w:color w:val="000000"/>
                <w:sz w:val="16"/>
                <w:szCs w:val="12"/>
                <w:lang w:eastAsia="en-GB"/>
              </w:rPr>
              <w:br/>
              <w:t>▪ Care coordinated similar to the care principles of 'palliative care';</w:t>
            </w:r>
            <w:r w:rsidRPr="00023AB8">
              <w:rPr>
                <w:rFonts w:ascii="Calibri" w:eastAsia="Times New Roman" w:hAnsi="Calibri" w:cs="Calibri"/>
                <w:color w:val="000000"/>
                <w:sz w:val="16"/>
                <w:szCs w:val="12"/>
                <w:lang w:eastAsia="en-GB"/>
              </w:rPr>
              <w:br/>
              <w:t xml:space="preserve">▪ Develop and promote services and support in the community to help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feel valued and safe in society;</w:t>
            </w:r>
            <w:r w:rsidRPr="00023AB8">
              <w:rPr>
                <w:rFonts w:ascii="Calibri" w:eastAsia="Times New Roman" w:hAnsi="Calibri" w:cs="Calibri"/>
                <w:color w:val="000000"/>
                <w:sz w:val="16"/>
                <w:szCs w:val="12"/>
                <w:lang w:eastAsia="en-GB"/>
              </w:rPr>
              <w:br/>
              <w:t xml:space="preserve">▪ Raise awareness of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rights and improve signposting to access legal and financial advice.</w:t>
            </w:r>
            <w:r w:rsidRPr="00023AB8">
              <w:rPr>
                <w:rFonts w:ascii="Calibri" w:eastAsia="Times New Roman" w:hAnsi="Calibri" w:cs="Calibri"/>
                <w:color w:val="000000"/>
                <w:sz w:val="16"/>
                <w:szCs w:val="12"/>
                <w:lang w:eastAsia="en-GB"/>
              </w:rPr>
              <w:br/>
              <w:t>▪ Social services and health provide more coordinated care and support</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xml:space="preserve">▪ Use of peer support i.e. patient or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led; </w:t>
            </w:r>
            <w:r w:rsidRPr="00023AB8">
              <w:rPr>
                <w:rFonts w:ascii="Calibri" w:eastAsia="Times New Roman" w:hAnsi="Calibri" w:cs="Calibri"/>
                <w:color w:val="000000"/>
                <w:sz w:val="16"/>
                <w:szCs w:val="12"/>
                <w:lang w:eastAsia="en-GB"/>
              </w:rPr>
              <w:br/>
              <w:t xml:space="preserve">▪ Enhance pathway to support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health and well-being.</w:t>
            </w:r>
          </w:p>
        </w:tc>
        <w:tc>
          <w:tcPr>
            <w:tcW w:w="1111" w:type="pct"/>
            <w:tcBorders>
              <w:top w:val="nil"/>
              <w:left w:val="nil"/>
              <w:bottom w:val="double" w:sz="4" w:space="0" w:color="auto"/>
              <w:right w:val="single" w:sz="4" w:space="0" w:color="auto"/>
            </w:tcBorders>
            <w:shd w:val="clear" w:color="auto" w:fill="DBE5F1" w:themeFill="accent1" w:themeFillTint="33"/>
            <w:hideMark/>
          </w:tcPr>
          <w:p w:rsidR="000B0741" w:rsidRPr="00023AB8" w:rsidRDefault="000B0741" w:rsidP="000B0741">
            <w:pPr>
              <w:spacing w:after="240"/>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More widespread information about the resources and support available to patients and </w:t>
            </w:r>
            <w:proofErr w:type="spellStart"/>
            <w:r w:rsidRPr="00023AB8">
              <w:rPr>
                <w:rFonts w:ascii="Calibri" w:eastAsia="Times New Roman" w:hAnsi="Calibri" w:cs="Calibri"/>
                <w:color w:val="000000"/>
                <w:sz w:val="16"/>
                <w:szCs w:val="12"/>
                <w:lang w:eastAsia="en-GB"/>
              </w:rPr>
              <w:t>carers</w:t>
            </w:r>
            <w:proofErr w:type="spellEnd"/>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xml:space="preserve">▪ A database or system that coordinate social care, health care and voluntary sector agencies. </w:t>
            </w:r>
            <w:r w:rsidRPr="00023AB8">
              <w:rPr>
                <w:rFonts w:ascii="Calibri" w:eastAsia="Times New Roman" w:hAnsi="Calibri" w:cs="Calibri"/>
                <w:color w:val="000000"/>
                <w:sz w:val="16"/>
                <w:szCs w:val="12"/>
                <w:lang w:eastAsia="en-GB"/>
              </w:rPr>
              <w:br/>
              <w:t>▪ Support to facilitate access to appropriate services</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Innovative models of care and more evidence base;</w:t>
            </w:r>
            <w:r w:rsidRPr="00023AB8">
              <w:rPr>
                <w:rFonts w:ascii="Calibri" w:eastAsia="Times New Roman" w:hAnsi="Calibri" w:cs="Calibri"/>
                <w:color w:val="000000"/>
                <w:sz w:val="16"/>
                <w:szCs w:val="12"/>
                <w:lang w:eastAsia="en-GB"/>
              </w:rPr>
              <w:br/>
              <w:t xml:space="preserve">▪ More therapeutic models of care for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p>
        </w:tc>
        <w:tc>
          <w:tcPr>
            <w:tcW w:w="946" w:type="pct"/>
            <w:tcBorders>
              <w:top w:val="nil"/>
              <w:left w:val="nil"/>
              <w:bottom w:val="double" w:sz="4" w:space="0" w:color="auto"/>
              <w:right w:val="double" w:sz="4" w:space="0" w:color="auto"/>
            </w:tcBorders>
            <w:shd w:val="clear" w:color="auto" w:fill="DBE5F1" w:themeFill="accent1" w:themeFillTint="33"/>
            <w:hideMark/>
          </w:tcPr>
          <w:p w:rsidR="000B0741"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A more positive journey for patients with dementia and their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families</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Carers and patients receive the support they need at the right time;</w:t>
            </w:r>
            <w:r w:rsidRPr="00023AB8">
              <w:rPr>
                <w:rFonts w:ascii="Calibri" w:eastAsia="Times New Roman" w:hAnsi="Calibri" w:cs="Calibri"/>
                <w:color w:val="000000"/>
                <w:sz w:val="16"/>
                <w:szCs w:val="12"/>
                <w:lang w:eastAsia="en-GB"/>
              </w:rPr>
              <w:br/>
              <w:t xml:space="preserve">▪ Reduced levels of stress and worries for patients,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families;</w:t>
            </w:r>
            <w:r w:rsidRPr="00023AB8">
              <w:rPr>
                <w:rFonts w:ascii="Calibri" w:eastAsia="Times New Roman" w:hAnsi="Calibri" w:cs="Calibri"/>
                <w:color w:val="000000"/>
                <w:sz w:val="16"/>
                <w:szCs w:val="12"/>
                <w:lang w:eastAsia="en-GB"/>
              </w:rPr>
              <w:br/>
              <w:t xml:space="preserve">▪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feeling more in control of their lives and condition;</w:t>
            </w:r>
            <w:r w:rsidRPr="00023AB8">
              <w:rPr>
                <w:rFonts w:ascii="Calibri" w:eastAsia="Times New Roman" w:hAnsi="Calibri" w:cs="Calibri"/>
                <w:color w:val="000000"/>
                <w:sz w:val="16"/>
                <w:szCs w:val="12"/>
                <w:lang w:eastAsia="en-GB"/>
              </w:rPr>
              <w:br/>
              <w:t>▪ Higher number of people accessing appropriate support;</w:t>
            </w:r>
            <w:r w:rsidRPr="00023AB8">
              <w:rPr>
                <w:rFonts w:ascii="Calibri" w:eastAsia="Times New Roman" w:hAnsi="Calibri" w:cs="Calibri"/>
                <w:color w:val="000000"/>
                <w:sz w:val="16"/>
                <w:szCs w:val="12"/>
                <w:lang w:eastAsia="en-GB"/>
              </w:rPr>
              <w:br/>
              <w:t xml:space="preserve">▪ Improved well-being of patients' and their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families;</w:t>
            </w:r>
            <w:r w:rsidRPr="00023AB8">
              <w:rPr>
                <w:rFonts w:ascii="Calibri" w:eastAsia="Times New Roman" w:hAnsi="Calibri" w:cs="Calibri"/>
                <w:color w:val="000000"/>
                <w:sz w:val="16"/>
                <w:szCs w:val="12"/>
                <w:lang w:eastAsia="en-GB"/>
              </w:rPr>
              <w:br/>
              <w:t>▪ Possible reduction on prescribing.</w:t>
            </w:r>
          </w:p>
          <w:p w:rsidR="000B0741" w:rsidRPr="00023AB8" w:rsidRDefault="000B0741" w:rsidP="000B0741">
            <w:pPr>
              <w:rPr>
                <w:rFonts w:ascii="Calibri" w:eastAsia="Times New Roman" w:hAnsi="Calibri" w:cs="Calibri"/>
                <w:color w:val="000000"/>
                <w:sz w:val="16"/>
                <w:szCs w:val="12"/>
                <w:lang w:eastAsia="en-GB"/>
              </w:rPr>
            </w:pPr>
          </w:p>
        </w:tc>
      </w:tr>
      <w:tr w:rsidR="000B0741" w:rsidRPr="00023AB8" w:rsidTr="001C372E">
        <w:trPr>
          <w:cantSplit/>
          <w:trHeight w:val="1134"/>
        </w:trPr>
        <w:tc>
          <w:tcPr>
            <w:tcW w:w="427" w:type="pct"/>
            <w:tcBorders>
              <w:top w:val="double" w:sz="4" w:space="0" w:color="auto"/>
              <w:left w:val="double" w:sz="4" w:space="0" w:color="auto"/>
              <w:bottom w:val="single" w:sz="4" w:space="0" w:color="auto"/>
              <w:right w:val="single" w:sz="4" w:space="0" w:color="auto"/>
            </w:tcBorders>
            <w:shd w:val="clear" w:color="auto" w:fill="FFFFFF" w:themeFill="background1"/>
            <w:textDirection w:val="tbRl"/>
            <w:vAlign w:val="center"/>
            <w:hideMark/>
          </w:tcPr>
          <w:p w:rsidR="000B0741" w:rsidRPr="00023AB8" w:rsidRDefault="000B0741" w:rsidP="000B0741">
            <w:pPr>
              <w:ind w:left="113" w:right="113"/>
              <w:jc w:val="center"/>
              <w:rPr>
                <w:rFonts w:ascii="Calibri" w:eastAsia="Times New Roman" w:hAnsi="Calibri" w:cs="Calibri"/>
                <w:b/>
                <w:bCs/>
                <w:color w:val="000000"/>
                <w:sz w:val="24"/>
                <w:szCs w:val="12"/>
                <w:lang w:eastAsia="en-GB"/>
              </w:rPr>
            </w:pPr>
            <w:r w:rsidRPr="00023AB8">
              <w:rPr>
                <w:rFonts w:ascii="Calibri" w:eastAsia="Times New Roman" w:hAnsi="Calibri" w:cs="Calibri"/>
                <w:b/>
                <w:bCs/>
                <w:color w:val="000000"/>
                <w:sz w:val="24"/>
                <w:szCs w:val="12"/>
                <w:lang w:eastAsia="en-GB"/>
              </w:rPr>
              <w:t>Supporting Well and Preventing and Managing Crisis</w:t>
            </w:r>
          </w:p>
        </w:tc>
        <w:tc>
          <w:tcPr>
            <w:tcW w:w="1258" w:type="pct"/>
            <w:tcBorders>
              <w:top w:val="double" w:sz="4" w:space="0" w:color="auto"/>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A system analogous to Macmillan Cancer support where care and support is available from diagnosis through to palliative care.</w:t>
            </w:r>
            <w:r w:rsidRPr="00023AB8">
              <w:rPr>
                <w:rFonts w:ascii="Calibri" w:eastAsia="Times New Roman" w:hAnsi="Calibri" w:cs="Calibri"/>
                <w:color w:val="000000"/>
                <w:sz w:val="16"/>
                <w:szCs w:val="12"/>
                <w:lang w:eastAsia="en-GB"/>
              </w:rPr>
              <w:br w:type="page"/>
              <w:t>▪ Adopt Admiral Nurse model as shown to work well</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ype="page"/>
              <w:t>▪ Care reviews to be triggered by events rather than annual;</w:t>
            </w:r>
            <w:r w:rsidRPr="00023AB8">
              <w:rPr>
                <w:rFonts w:ascii="Calibri" w:eastAsia="Times New Roman" w:hAnsi="Calibri" w:cs="Calibri"/>
                <w:color w:val="000000"/>
                <w:sz w:val="16"/>
                <w:szCs w:val="12"/>
                <w:lang w:eastAsia="en-GB"/>
              </w:rPr>
              <w:br w:type="page"/>
              <w:t>▪ Reviews best carried out by case manager to ensure continuity of care;</w:t>
            </w:r>
            <w:r w:rsidRPr="00023AB8">
              <w:rPr>
                <w:rFonts w:ascii="Calibri" w:eastAsia="Times New Roman" w:hAnsi="Calibri" w:cs="Calibri"/>
                <w:color w:val="000000"/>
                <w:sz w:val="16"/>
                <w:szCs w:val="12"/>
                <w:lang w:eastAsia="en-GB"/>
              </w:rPr>
              <w:br w:type="page"/>
              <w:t>▪ Proactively change care and support provided according to patients' changing needs and 'trigger events' such as admission into acute settings, change in social circumstances; co-morbidities;</w:t>
            </w:r>
            <w:r w:rsidRPr="00023AB8">
              <w:rPr>
                <w:rFonts w:ascii="Calibri" w:eastAsia="Times New Roman" w:hAnsi="Calibri" w:cs="Calibri"/>
                <w:color w:val="000000"/>
                <w:sz w:val="16"/>
                <w:szCs w:val="12"/>
                <w:lang w:eastAsia="en-GB"/>
              </w:rPr>
              <w:br w:type="page"/>
              <w:t xml:space="preserve">▪ 24/7 crisis hotline for family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ype="page"/>
            </w:r>
            <w:r w:rsidRPr="00023AB8">
              <w:rPr>
                <w:rFonts w:ascii="Calibri" w:eastAsia="Times New Roman" w:hAnsi="Calibri" w:cs="Calibri"/>
                <w:color w:val="000000"/>
                <w:sz w:val="16"/>
                <w:szCs w:val="12"/>
                <w:lang w:eastAsia="en-GB"/>
              </w:rPr>
              <w:br w:type="page"/>
            </w:r>
          </w:p>
        </w:tc>
        <w:tc>
          <w:tcPr>
            <w:tcW w:w="1258" w:type="pct"/>
            <w:tcBorders>
              <w:top w:val="double" w:sz="4" w:space="0" w:color="auto"/>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Develop way to identify trigger points for a change in care / management needs to be identified;</w:t>
            </w:r>
            <w:r w:rsidRPr="00023AB8">
              <w:rPr>
                <w:rFonts w:ascii="Calibri" w:eastAsia="Times New Roman" w:hAnsi="Calibri" w:cs="Calibri"/>
                <w:color w:val="000000"/>
                <w:sz w:val="16"/>
                <w:szCs w:val="12"/>
                <w:lang w:eastAsia="en-GB"/>
              </w:rPr>
              <w:br w:type="page"/>
              <w:t xml:space="preserve">▪ Education and support for patients, family,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professionals to help identify subtle trends and changes;</w:t>
            </w:r>
            <w:r w:rsidRPr="00023AB8">
              <w:rPr>
                <w:rFonts w:ascii="Calibri" w:eastAsia="Times New Roman" w:hAnsi="Calibri" w:cs="Calibri"/>
                <w:color w:val="000000"/>
                <w:sz w:val="16"/>
                <w:szCs w:val="12"/>
                <w:lang w:eastAsia="en-GB"/>
              </w:rPr>
              <w:br w:type="page"/>
              <w:t>▪ Carers supported to become partners in care;</w:t>
            </w:r>
            <w:r w:rsidRPr="00023AB8">
              <w:rPr>
                <w:rFonts w:ascii="Calibri" w:eastAsia="Times New Roman" w:hAnsi="Calibri" w:cs="Calibri"/>
                <w:color w:val="000000"/>
                <w:sz w:val="16"/>
                <w:szCs w:val="12"/>
                <w:lang w:eastAsia="en-GB"/>
              </w:rPr>
              <w:br w:type="page"/>
              <w:t xml:space="preserve">▪ Support people with dementia and their families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to live well with dementia;</w:t>
            </w:r>
            <w:r w:rsidRPr="00023AB8">
              <w:rPr>
                <w:rFonts w:ascii="Calibri" w:eastAsia="Times New Roman" w:hAnsi="Calibri" w:cs="Calibri"/>
                <w:color w:val="000000"/>
                <w:sz w:val="16"/>
                <w:szCs w:val="12"/>
                <w:lang w:eastAsia="en-GB"/>
              </w:rPr>
              <w:br w:type="page"/>
              <w:t xml:space="preserve">▪ Ensure family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needs are addressed and support to ensure patient well-being;</w:t>
            </w:r>
            <w:r w:rsidRPr="00023AB8">
              <w:rPr>
                <w:rFonts w:ascii="Calibri" w:eastAsia="Times New Roman" w:hAnsi="Calibri" w:cs="Calibri"/>
                <w:color w:val="000000"/>
                <w:sz w:val="16"/>
                <w:szCs w:val="12"/>
                <w:lang w:eastAsia="en-GB"/>
              </w:rPr>
              <w:br w:type="page"/>
              <w:t>▪ Entry into service provision should be based on needs rather than a diagnostic label.</w:t>
            </w:r>
            <w:r w:rsidRPr="00023AB8">
              <w:rPr>
                <w:rFonts w:ascii="Calibri" w:eastAsia="Times New Roman" w:hAnsi="Calibri" w:cs="Calibri"/>
                <w:color w:val="000000"/>
                <w:sz w:val="16"/>
                <w:szCs w:val="12"/>
                <w:lang w:eastAsia="en-GB"/>
              </w:rPr>
              <w:br w:type="page"/>
            </w:r>
            <w:r w:rsidRPr="00023AB8">
              <w:rPr>
                <w:rFonts w:ascii="Calibri" w:eastAsia="Times New Roman" w:hAnsi="Calibri" w:cs="Calibri"/>
                <w:color w:val="000000"/>
                <w:sz w:val="16"/>
                <w:szCs w:val="12"/>
                <w:lang w:eastAsia="en-GB"/>
              </w:rPr>
              <w:br w:type="page"/>
            </w:r>
            <w:r w:rsidRPr="00023AB8">
              <w:rPr>
                <w:rFonts w:ascii="Calibri" w:eastAsia="Times New Roman" w:hAnsi="Calibri" w:cs="Calibri"/>
                <w:color w:val="000000"/>
                <w:sz w:val="16"/>
                <w:szCs w:val="12"/>
                <w:lang w:eastAsia="en-GB"/>
              </w:rPr>
              <w:br w:type="page"/>
            </w:r>
          </w:p>
        </w:tc>
        <w:tc>
          <w:tcPr>
            <w:tcW w:w="1111" w:type="pct"/>
            <w:tcBorders>
              <w:top w:val="double" w:sz="4" w:space="0" w:color="auto"/>
              <w:left w:val="nil"/>
              <w:bottom w:val="single" w:sz="4" w:space="0" w:color="auto"/>
              <w:right w:val="sing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Create capacity in the system to provide flexible care to support patients' changing needs and late diagnosis</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ype="page"/>
              <w:t xml:space="preserve">▪ Training and education to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professionals;</w:t>
            </w:r>
            <w:r w:rsidRPr="00023AB8">
              <w:rPr>
                <w:rFonts w:ascii="Calibri" w:eastAsia="Times New Roman" w:hAnsi="Calibri" w:cs="Calibri"/>
                <w:color w:val="000000"/>
                <w:sz w:val="16"/>
                <w:szCs w:val="12"/>
                <w:lang w:eastAsia="en-GB"/>
              </w:rPr>
              <w:br w:type="page"/>
              <w:t>▪ A system for health and care professionals to communicate and coordinate care according to patients changing needs;</w:t>
            </w:r>
            <w:r w:rsidRPr="00023AB8">
              <w:rPr>
                <w:rFonts w:ascii="Calibri" w:eastAsia="Times New Roman" w:hAnsi="Calibri" w:cs="Calibri"/>
                <w:color w:val="000000"/>
                <w:sz w:val="16"/>
                <w:szCs w:val="12"/>
                <w:lang w:eastAsia="en-GB"/>
              </w:rPr>
              <w:br w:type="page"/>
              <w:t>▪ Nurses to coordinate patient care ;</w:t>
            </w:r>
            <w:r w:rsidRPr="00023AB8">
              <w:rPr>
                <w:rFonts w:ascii="Calibri" w:eastAsia="Times New Roman" w:hAnsi="Calibri" w:cs="Calibri"/>
                <w:color w:val="000000"/>
                <w:sz w:val="16"/>
                <w:szCs w:val="12"/>
                <w:lang w:eastAsia="en-GB"/>
              </w:rPr>
              <w:br w:type="page"/>
              <w:t xml:space="preserve">▪ Better use of voluntary sector and social services to provide support to patients and their families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p>
        </w:tc>
        <w:tc>
          <w:tcPr>
            <w:tcW w:w="946" w:type="pct"/>
            <w:tcBorders>
              <w:top w:val="double" w:sz="4" w:space="0" w:color="auto"/>
              <w:left w:val="nil"/>
              <w:bottom w:val="single" w:sz="4" w:space="0" w:color="auto"/>
              <w:right w:val="double" w:sz="4" w:space="0" w:color="auto"/>
            </w:tcBorders>
            <w:shd w:val="clear" w:color="auto" w:fill="FFFFFF" w:themeFill="background1"/>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Continuity of care and support to patients and family </w:t>
            </w:r>
            <w:proofErr w:type="spellStart"/>
            <w:r w:rsidRPr="00023AB8">
              <w:rPr>
                <w:rFonts w:ascii="Calibri" w:eastAsia="Times New Roman" w:hAnsi="Calibri" w:cs="Calibri"/>
                <w:color w:val="000000"/>
                <w:sz w:val="16"/>
                <w:szCs w:val="12"/>
                <w:lang w:eastAsia="en-GB"/>
              </w:rPr>
              <w:t>carers</w:t>
            </w:r>
            <w:proofErr w:type="spellEnd"/>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ype="page"/>
              <w:t xml:space="preserve">▪ Improved emotional and practical support offered to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ype="page"/>
              <w:t>▪ Carers supported and better able to manage and prevent crisis admission.</w:t>
            </w:r>
            <w:r w:rsidRPr="00023AB8">
              <w:rPr>
                <w:rFonts w:ascii="Calibri" w:eastAsia="Times New Roman" w:hAnsi="Calibri" w:cs="Calibri"/>
                <w:color w:val="000000"/>
                <w:sz w:val="16"/>
                <w:szCs w:val="12"/>
                <w:lang w:eastAsia="en-GB"/>
              </w:rPr>
              <w:br w:type="page"/>
              <w:t>▪ Carers supported and better able to improve patients' well-being;</w:t>
            </w:r>
            <w:r w:rsidRPr="00023AB8">
              <w:rPr>
                <w:rFonts w:ascii="Calibri" w:eastAsia="Times New Roman" w:hAnsi="Calibri" w:cs="Calibri"/>
                <w:color w:val="000000"/>
                <w:sz w:val="16"/>
                <w:szCs w:val="12"/>
                <w:lang w:eastAsia="en-GB"/>
              </w:rPr>
              <w:br w:type="page"/>
              <w:t xml:space="preserve">▪ Tailored care and support provided according to changing needs of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ype="page"/>
              <w:t xml:space="preserve">▪ Improved and timely access to appropriate services by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ype="page"/>
            </w:r>
          </w:p>
        </w:tc>
      </w:tr>
      <w:tr w:rsidR="000B0741" w:rsidRPr="00023AB8" w:rsidTr="001C372E">
        <w:trPr>
          <w:cantSplit/>
          <w:trHeight w:val="1134"/>
        </w:trPr>
        <w:tc>
          <w:tcPr>
            <w:tcW w:w="427" w:type="pct"/>
            <w:tcBorders>
              <w:top w:val="single" w:sz="4" w:space="0" w:color="auto"/>
              <w:left w:val="double" w:sz="4" w:space="0" w:color="auto"/>
              <w:bottom w:val="double" w:sz="4" w:space="0" w:color="auto"/>
              <w:right w:val="single" w:sz="4" w:space="0" w:color="auto"/>
            </w:tcBorders>
            <w:shd w:val="clear" w:color="auto" w:fill="DBE5F1" w:themeFill="accent1" w:themeFillTint="33"/>
            <w:noWrap/>
            <w:textDirection w:val="tbRl"/>
            <w:vAlign w:val="center"/>
            <w:hideMark/>
          </w:tcPr>
          <w:p w:rsidR="000B0741" w:rsidRPr="00023AB8" w:rsidRDefault="000B0741" w:rsidP="000B0741">
            <w:pPr>
              <w:ind w:left="113" w:right="113"/>
              <w:jc w:val="center"/>
              <w:rPr>
                <w:rFonts w:ascii="Calibri" w:eastAsia="Times New Roman" w:hAnsi="Calibri" w:cs="Calibri"/>
                <w:b/>
                <w:bCs/>
                <w:color w:val="000000"/>
                <w:sz w:val="24"/>
                <w:szCs w:val="12"/>
                <w:lang w:eastAsia="en-GB"/>
              </w:rPr>
            </w:pPr>
            <w:r w:rsidRPr="00023AB8">
              <w:rPr>
                <w:rFonts w:ascii="Calibri" w:eastAsia="Times New Roman" w:hAnsi="Calibri" w:cs="Calibri"/>
                <w:b/>
                <w:bCs/>
                <w:color w:val="000000"/>
                <w:sz w:val="24"/>
                <w:szCs w:val="12"/>
                <w:lang w:eastAsia="en-GB"/>
              </w:rPr>
              <w:t>Dying Well with Dementia</w:t>
            </w:r>
          </w:p>
        </w:tc>
        <w:tc>
          <w:tcPr>
            <w:tcW w:w="1258" w:type="pct"/>
            <w:tcBorders>
              <w:top w:val="single" w:sz="4" w:space="0" w:color="auto"/>
              <w:left w:val="nil"/>
              <w:bottom w:val="double" w:sz="4" w:space="0" w:color="auto"/>
              <w:right w:val="sing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Risk stratification tool to identify multiple admissions and reduced levels of functioning;</w:t>
            </w:r>
            <w:r w:rsidRPr="00023AB8">
              <w:rPr>
                <w:rFonts w:ascii="Calibri" w:eastAsia="Times New Roman" w:hAnsi="Calibri" w:cs="Calibri"/>
                <w:color w:val="000000"/>
                <w:sz w:val="16"/>
                <w:szCs w:val="12"/>
                <w:lang w:eastAsia="en-GB"/>
              </w:rPr>
              <w:br/>
              <w:t>▪ A first point of contact (i.e. 'Dementia Adviser' to carry out regular reviews, care coordination/navigation and emotional support;</w:t>
            </w:r>
            <w:r w:rsidRPr="00023AB8">
              <w:rPr>
                <w:rFonts w:ascii="Calibri" w:eastAsia="Times New Roman" w:hAnsi="Calibri" w:cs="Calibri"/>
                <w:color w:val="000000"/>
                <w:sz w:val="16"/>
                <w:szCs w:val="12"/>
                <w:lang w:eastAsia="en-GB"/>
              </w:rPr>
              <w:br/>
              <w:t>▪ Access to menu of support/ability to refer;</w:t>
            </w:r>
            <w:r w:rsidRPr="00023AB8">
              <w:rPr>
                <w:rFonts w:ascii="Calibri" w:eastAsia="Times New Roman" w:hAnsi="Calibri" w:cs="Calibri"/>
                <w:color w:val="000000"/>
                <w:sz w:val="16"/>
                <w:szCs w:val="12"/>
                <w:lang w:eastAsia="en-GB"/>
              </w:rPr>
              <w:br/>
              <w:t xml:space="preserve">▪ </w:t>
            </w:r>
            <w:proofErr w:type="spellStart"/>
            <w:r w:rsidRPr="00023AB8">
              <w:rPr>
                <w:rFonts w:ascii="Calibri" w:eastAsia="Times New Roman" w:hAnsi="Calibri" w:cs="Calibri"/>
                <w:color w:val="000000"/>
                <w:sz w:val="16"/>
                <w:szCs w:val="12"/>
                <w:lang w:eastAsia="en-GB"/>
              </w:rPr>
              <w:t>Personalised</w:t>
            </w:r>
            <w:proofErr w:type="spellEnd"/>
            <w:r w:rsidRPr="00023AB8">
              <w:rPr>
                <w:rFonts w:ascii="Calibri" w:eastAsia="Times New Roman" w:hAnsi="Calibri" w:cs="Calibri"/>
                <w:color w:val="000000"/>
                <w:sz w:val="16"/>
                <w:szCs w:val="12"/>
                <w:lang w:eastAsia="en-GB"/>
              </w:rPr>
              <w:t xml:space="preserve"> and flexible care plans owned by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with rights of access and determination between </w:t>
            </w:r>
            <w:proofErr w:type="spellStart"/>
            <w:r w:rsidRPr="00023AB8">
              <w:rPr>
                <w:rFonts w:ascii="Calibri" w:eastAsia="Times New Roman" w:hAnsi="Calibri" w:cs="Calibri"/>
                <w:color w:val="000000"/>
                <w:sz w:val="16"/>
                <w:szCs w:val="12"/>
                <w:lang w:eastAsia="en-GB"/>
              </w:rPr>
              <w:t>carer</w:t>
            </w:r>
            <w:proofErr w:type="spellEnd"/>
            <w:r w:rsidRPr="00023AB8">
              <w:rPr>
                <w:rFonts w:ascii="Calibri" w:eastAsia="Times New Roman" w:hAnsi="Calibri" w:cs="Calibri"/>
                <w:color w:val="000000"/>
                <w:sz w:val="16"/>
                <w:szCs w:val="12"/>
                <w:lang w:eastAsia="en-GB"/>
              </w:rPr>
              <w:t xml:space="preserve"> and patient clearly outlined; </w:t>
            </w:r>
            <w:r w:rsidRPr="00023AB8">
              <w:rPr>
                <w:rFonts w:ascii="Calibri" w:eastAsia="Times New Roman" w:hAnsi="Calibri" w:cs="Calibri"/>
                <w:color w:val="000000"/>
                <w:sz w:val="16"/>
                <w:szCs w:val="12"/>
                <w:lang w:eastAsia="en-GB"/>
              </w:rPr>
              <w:br/>
              <w:t xml:space="preserve">▪ Proactive care plans that  clearly describe agreed provision of care and support to empower patients and </w:t>
            </w:r>
            <w:proofErr w:type="spellStart"/>
            <w:r w:rsidRPr="00023AB8">
              <w:rPr>
                <w:rFonts w:ascii="Calibri" w:eastAsia="Times New Roman" w:hAnsi="Calibri" w:cs="Calibri"/>
                <w:color w:val="000000"/>
                <w:sz w:val="16"/>
                <w:szCs w:val="12"/>
                <w:lang w:eastAsia="en-GB"/>
              </w:rPr>
              <w:t>carer</w:t>
            </w:r>
            <w:proofErr w:type="spellEnd"/>
            <w:r w:rsidRPr="00023AB8">
              <w:rPr>
                <w:rFonts w:ascii="Calibri" w:eastAsia="Times New Roman" w:hAnsi="Calibri" w:cs="Calibri"/>
                <w:color w:val="000000"/>
                <w:sz w:val="16"/>
                <w:szCs w:val="12"/>
                <w:lang w:eastAsia="en-GB"/>
              </w:rPr>
              <w:t xml:space="preserve"> to achieve personal goals;</w:t>
            </w:r>
            <w:r w:rsidRPr="00023AB8">
              <w:rPr>
                <w:rFonts w:ascii="Calibri" w:eastAsia="Times New Roman" w:hAnsi="Calibri" w:cs="Calibri"/>
                <w:color w:val="000000"/>
                <w:sz w:val="16"/>
                <w:szCs w:val="12"/>
                <w:lang w:eastAsia="en-GB"/>
              </w:rPr>
              <w:br/>
              <w:t>▪ Care plans to describe family and social situation and is used by the system;</w:t>
            </w:r>
            <w:r w:rsidRPr="00023AB8">
              <w:rPr>
                <w:rFonts w:ascii="Calibri" w:eastAsia="Times New Roman" w:hAnsi="Calibri" w:cs="Calibri"/>
                <w:color w:val="000000"/>
                <w:sz w:val="16"/>
                <w:szCs w:val="12"/>
                <w:lang w:eastAsia="en-GB"/>
              </w:rPr>
              <w:br/>
              <w:t xml:space="preserve">▪ Emotional and practical support for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post death.</w:t>
            </w:r>
          </w:p>
        </w:tc>
        <w:tc>
          <w:tcPr>
            <w:tcW w:w="1258" w:type="pct"/>
            <w:tcBorders>
              <w:top w:val="single" w:sz="4" w:space="0" w:color="auto"/>
              <w:left w:val="nil"/>
              <w:bottom w:val="double" w:sz="4" w:space="0" w:color="auto"/>
              <w:right w:val="sing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Regular review of need and care plan with single point of contact (i.e. 'Dementia Adviser' to foster trusted relationship</w:t>
            </w:r>
            <w:proofErr w:type="gramStart"/>
            <w:r w:rsidRPr="00023AB8">
              <w:rPr>
                <w:rFonts w:ascii="Calibri" w:eastAsia="Times New Roman" w:hAnsi="Calibri" w:cs="Calibri"/>
                <w:color w:val="000000"/>
                <w:sz w:val="16"/>
                <w:szCs w:val="12"/>
                <w:lang w:eastAsia="en-GB"/>
              </w:rPr>
              <w:t>;</w:t>
            </w:r>
            <w:proofErr w:type="gramEnd"/>
            <w:r w:rsidRPr="00023AB8">
              <w:rPr>
                <w:rFonts w:ascii="Calibri" w:eastAsia="Times New Roman" w:hAnsi="Calibri" w:cs="Calibri"/>
                <w:color w:val="000000"/>
                <w:sz w:val="16"/>
                <w:szCs w:val="12"/>
                <w:lang w:eastAsia="en-GB"/>
              </w:rPr>
              <w:br/>
              <w:t>▪ 'Dementia Adviser' to develop, manage and review patient/</w:t>
            </w:r>
            <w:proofErr w:type="spellStart"/>
            <w:r w:rsidRPr="00023AB8">
              <w:rPr>
                <w:rFonts w:ascii="Calibri" w:eastAsia="Times New Roman" w:hAnsi="Calibri" w:cs="Calibri"/>
                <w:color w:val="000000"/>
                <w:sz w:val="16"/>
                <w:szCs w:val="12"/>
                <w:lang w:eastAsia="en-GB"/>
              </w:rPr>
              <w:t>carer</w:t>
            </w:r>
            <w:proofErr w:type="spellEnd"/>
            <w:r w:rsidRPr="00023AB8">
              <w:rPr>
                <w:rFonts w:ascii="Calibri" w:eastAsia="Times New Roman" w:hAnsi="Calibri" w:cs="Calibri"/>
                <w:color w:val="000000"/>
                <w:sz w:val="16"/>
                <w:szCs w:val="12"/>
                <w:lang w:eastAsia="en-GB"/>
              </w:rPr>
              <w:t xml:space="preserve"> owned care plan and support patient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 xml:space="preserve">▪ 'Dementia Adviser' to identify when condition of patient deteriorates or circumstances change to adapt care approach and provide advice and first line emotional support to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 xml:space="preserve"> and families. </w:t>
            </w:r>
            <w:r w:rsidRPr="00023AB8">
              <w:rPr>
                <w:rFonts w:ascii="Calibri" w:eastAsia="Times New Roman" w:hAnsi="Calibri" w:cs="Calibri"/>
                <w:color w:val="000000"/>
                <w:sz w:val="16"/>
                <w:szCs w:val="12"/>
                <w:lang w:eastAsia="en-GB"/>
              </w:rPr>
              <w:br/>
              <w:t xml:space="preserve">▪ Pilot Stafford and </w:t>
            </w:r>
            <w:proofErr w:type="spellStart"/>
            <w:proofErr w:type="gramStart"/>
            <w:r w:rsidRPr="00023AB8">
              <w:rPr>
                <w:rFonts w:ascii="Calibri" w:eastAsia="Times New Roman" w:hAnsi="Calibri" w:cs="Calibri"/>
                <w:color w:val="000000"/>
                <w:sz w:val="16"/>
                <w:szCs w:val="12"/>
                <w:lang w:eastAsia="en-GB"/>
              </w:rPr>
              <w:t>Cannock's</w:t>
            </w:r>
            <w:proofErr w:type="spellEnd"/>
            <w:r w:rsidRPr="00023AB8">
              <w:rPr>
                <w:rFonts w:ascii="Calibri" w:eastAsia="Times New Roman" w:hAnsi="Calibri" w:cs="Calibri"/>
                <w:color w:val="000000"/>
                <w:sz w:val="16"/>
                <w:szCs w:val="12"/>
                <w:lang w:eastAsia="en-GB"/>
              </w:rPr>
              <w:t xml:space="preserve">  'Memory</w:t>
            </w:r>
            <w:proofErr w:type="gramEnd"/>
            <w:r w:rsidRPr="00023AB8">
              <w:rPr>
                <w:rFonts w:ascii="Calibri" w:eastAsia="Times New Roman" w:hAnsi="Calibri" w:cs="Calibri"/>
                <w:color w:val="000000"/>
                <w:sz w:val="16"/>
                <w:szCs w:val="12"/>
                <w:lang w:eastAsia="en-GB"/>
              </w:rPr>
              <w:t xml:space="preserve"> First'  </w:t>
            </w:r>
            <w:proofErr w:type="spellStart"/>
            <w:r w:rsidRPr="00023AB8">
              <w:rPr>
                <w:rFonts w:ascii="Calibri" w:eastAsia="Times New Roman" w:hAnsi="Calibri" w:cs="Calibri"/>
                <w:color w:val="000000"/>
                <w:sz w:val="16"/>
                <w:szCs w:val="12"/>
                <w:lang w:eastAsia="en-GB"/>
              </w:rPr>
              <w:t>programme</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 xml:space="preserve">▪ Provide separate ( and shared) support for patient and </w:t>
            </w:r>
            <w:proofErr w:type="spellStart"/>
            <w:r w:rsidRPr="00023AB8">
              <w:rPr>
                <w:rFonts w:ascii="Calibri" w:eastAsia="Times New Roman" w:hAnsi="Calibri" w:cs="Calibri"/>
                <w:color w:val="000000"/>
                <w:sz w:val="16"/>
                <w:szCs w:val="12"/>
                <w:lang w:eastAsia="en-GB"/>
              </w:rPr>
              <w:t>carer</w:t>
            </w:r>
            <w:proofErr w:type="spellEnd"/>
            <w:r w:rsidRPr="00023AB8">
              <w:rPr>
                <w:rFonts w:ascii="Calibri" w:eastAsia="Times New Roman" w:hAnsi="Calibri" w:cs="Calibri"/>
                <w:color w:val="000000"/>
                <w:sz w:val="16"/>
                <w:szCs w:val="12"/>
                <w:lang w:eastAsia="en-GB"/>
              </w:rPr>
              <w:t>.</w:t>
            </w:r>
          </w:p>
        </w:tc>
        <w:tc>
          <w:tcPr>
            <w:tcW w:w="1111" w:type="pct"/>
            <w:tcBorders>
              <w:top w:val="single" w:sz="4" w:space="0" w:color="auto"/>
              <w:left w:val="nil"/>
              <w:bottom w:val="double" w:sz="4" w:space="0" w:color="auto"/>
              <w:right w:val="single" w:sz="4" w:space="0" w:color="auto"/>
            </w:tcBorders>
            <w:shd w:val="clear" w:color="auto" w:fill="DBE5F1" w:themeFill="accent1" w:themeFillTint="33"/>
            <w:hideMark/>
          </w:tcPr>
          <w:p w:rsidR="000B0741" w:rsidRPr="00023AB8" w:rsidRDefault="000B0741" w:rsidP="000B0741">
            <w:pPr>
              <w:spacing w:after="240"/>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'Dementia Adviser' to have dementia expertise; local knowledge and awareness of services  including cross boundary, cultures and communities;</w:t>
            </w:r>
            <w:r w:rsidRPr="00023AB8">
              <w:rPr>
                <w:rFonts w:ascii="Calibri" w:eastAsia="Times New Roman" w:hAnsi="Calibri" w:cs="Calibri"/>
                <w:color w:val="000000"/>
                <w:sz w:val="16"/>
                <w:szCs w:val="12"/>
                <w:lang w:eastAsia="en-GB"/>
              </w:rPr>
              <w:br/>
              <w:t>▪ Alzheimer’s Society to provide evidence and information;</w:t>
            </w:r>
            <w:r w:rsidRPr="00023AB8">
              <w:rPr>
                <w:rFonts w:ascii="Calibri" w:eastAsia="Times New Roman" w:hAnsi="Calibri" w:cs="Calibri"/>
                <w:color w:val="000000"/>
                <w:sz w:val="16"/>
                <w:szCs w:val="12"/>
                <w:lang w:eastAsia="en-GB"/>
              </w:rPr>
              <w:br/>
              <w:t>▪ Support system that prepare families and patients for end of life and build early plans, some of which would commence at diagnosis (linked with care plan and 'Dementia Adviser')</w:t>
            </w:r>
            <w:r w:rsidRPr="00023AB8">
              <w:rPr>
                <w:rFonts w:ascii="Calibri" w:eastAsia="Times New Roman" w:hAnsi="Calibri" w:cs="Calibri"/>
                <w:color w:val="000000"/>
                <w:sz w:val="16"/>
                <w:szCs w:val="12"/>
                <w:lang w:eastAsia="en-GB"/>
              </w:rPr>
              <w:br/>
              <w:t xml:space="preserve">▪ End-of-life support and education for people with dementia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r>
            <w:r w:rsidRPr="00023AB8">
              <w:rPr>
                <w:rFonts w:ascii="Calibri" w:eastAsia="Times New Roman" w:hAnsi="Calibri" w:cs="Calibri"/>
                <w:color w:val="000000"/>
                <w:sz w:val="16"/>
                <w:szCs w:val="12"/>
                <w:lang w:eastAsia="en-GB"/>
              </w:rPr>
              <w:br/>
            </w:r>
          </w:p>
        </w:tc>
        <w:tc>
          <w:tcPr>
            <w:tcW w:w="946" w:type="pct"/>
            <w:tcBorders>
              <w:top w:val="single" w:sz="4" w:space="0" w:color="auto"/>
              <w:left w:val="nil"/>
              <w:bottom w:val="double" w:sz="4" w:space="0" w:color="auto"/>
              <w:right w:val="double" w:sz="4" w:space="0" w:color="auto"/>
            </w:tcBorders>
            <w:shd w:val="clear" w:color="auto" w:fill="DBE5F1" w:themeFill="accent1" w:themeFillTint="33"/>
            <w:hideMark/>
          </w:tcPr>
          <w:p w:rsidR="000B0741" w:rsidRPr="00023AB8" w:rsidRDefault="000B0741" w:rsidP="000B0741">
            <w:pPr>
              <w:rPr>
                <w:rFonts w:ascii="Calibri" w:eastAsia="Times New Roman" w:hAnsi="Calibri" w:cs="Calibri"/>
                <w:color w:val="000000"/>
                <w:sz w:val="16"/>
                <w:szCs w:val="12"/>
                <w:lang w:eastAsia="en-GB"/>
              </w:rPr>
            </w:pPr>
            <w:r w:rsidRPr="00023AB8">
              <w:rPr>
                <w:rFonts w:ascii="Calibri" w:eastAsia="Times New Roman" w:hAnsi="Calibri" w:cs="Calibri"/>
                <w:color w:val="000000"/>
                <w:sz w:val="16"/>
                <w:szCs w:val="12"/>
                <w:lang w:eastAsia="en-GB"/>
              </w:rPr>
              <w:t xml:space="preserve">▪ Possible reduction in hospital admissions; </w:t>
            </w:r>
            <w:r w:rsidRPr="00023AB8">
              <w:rPr>
                <w:rFonts w:ascii="Calibri" w:eastAsia="Times New Roman" w:hAnsi="Calibri" w:cs="Calibri"/>
                <w:color w:val="000000"/>
                <w:sz w:val="16"/>
                <w:szCs w:val="12"/>
                <w:lang w:eastAsia="en-GB"/>
              </w:rPr>
              <w:br/>
              <w:t xml:space="preserve">▪ Improved support offered and </w:t>
            </w:r>
            <w:proofErr w:type="spellStart"/>
            <w:r w:rsidRPr="00023AB8">
              <w:rPr>
                <w:rFonts w:ascii="Calibri" w:eastAsia="Times New Roman" w:hAnsi="Calibri" w:cs="Calibri"/>
                <w:color w:val="000000"/>
                <w:sz w:val="16"/>
                <w:szCs w:val="12"/>
                <w:lang w:eastAsia="en-GB"/>
              </w:rPr>
              <w:t>personalised</w:t>
            </w:r>
            <w:proofErr w:type="spellEnd"/>
            <w:r w:rsidRPr="00023AB8">
              <w:rPr>
                <w:rFonts w:ascii="Calibri" w:eastAsia="Times New Roman" w:hAnsi="Calibri" w:cs="Calibri"/>
                <w:color w:val="000000"/>
                <w:sz w:val="16"/>
                <w:szCs w:val="12"/>
                <w:lang w:eastAsia="en-GB"/>
              </w:rPr>
              <w:t xml:space="preserve"> care to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r w:rsidRPr="00023AB8">
              <w:rPr>
                <w:rFonts w:ascii="Calibri" w:eastAsia="Times New Roman" w:hAnsi="Calibri" w:cs="Calibri"/>
                <w:color w:val="000000"/>
                <w:sz w:val="16"/>
                <w:szCs w:val="12"/>
                <w:lang w:eastAsia="en-GB"/>
              </w:rPr>
              <w:br/>
              <w:t>▪ Reduced demand on primary care;</w:t>
            </w:r>
            <w:r w:rsidRPr="00023AB8">
              <w:rPr>
                <w:rFonts w:ascii="Calibri" w:eastAsia="Times New Roman" w:hAnsi="Calibri" w:cs="Calibri"/>
                <w:color w:val="000000"/>
                <w:sz w:val="16"/>
                <w:szCs w:val="12"/>
                <w:lang w:eastAsia="en-GB"/>
              </w:rPr>
              <w:br/>
              <w:t>▪ Prevent unnecessary clinical interventions;</w:t>
            </w:r>
            <w:r w:rsidRPr="00023AB8">
              <w:rPr>
                <w:rFonts w:ascii="Calibri" w:eastAsia="Times New Roman" w:hAnsi="Calibri" w:cs="Calibri"/>
                <w:color w:val="000000"/>
                <w:sz w:val="16"/>
                <w:szCs w:val="12"/>
                <w:lang w:eastAsia="en-GB"/>
              </w:rPr>
              <w:br/>
              <w:t xml:space="preserve">▪ Better experience and outcomes for patients and </w:t>
            </w:r>
            <w:proofErr w:type="spellStart"/>
            <w:r w:rsidRPr="00023AB8">
              <w:rPr>
                <w:rFonts w:ascii="Calibri" w:eastAsia="Times New Roman" w:hAnsi="Calibri" w:cs="Calibri"/>
                <w:color w:val="000000"/>
                <w:sz w:val="16"/>
                <w:szCs w:val="12"/>
                <w:lang w:eastAsia="en-GB"/>
              </w:rPr>
              <w:t>carers</w:t>
            </w:r>
            <w:proofErr w:type="spellEnd"/>
            <w:r w:rsidRPr="00023AB8">
              <w:rPr>
                <w:rFonts w:ascii="Calibri" w:eastAsia="Times New Roman" w:hAnsi="Calibri" w:cs="Calibri"/>
                <w:color w:val="000000"/>
                <w:sz w:val="16"/>
                <w:szCs w:val="12"/>
                <w:lang w:eastAsia="en-GB"/>
              </w:rPr>
              <w:t>;</w:t>
            </w:r>
          </w:p>
        </w:tc>
      </w:tr>
    </w:tbl>
    <w:p w:rsidR="009B65EA" w:rsidRPr="00913267" w:rsidRDefault="009B65EA" w:rsidP="00117BFD">
      <w:pPr>
        <w:spacing w:line="276" w:lineRule="auto"/>
        <w:rPr>
          <w:sz w:val="24"/>
          <w:lang w:val="en-GB"/>
        </w:rPr>
      </w:pPr>
    </w:p>
    <w:p w:rsidR="009B65EA" w:rsidRDefault="009B65EA" w:rsidP="00117BFD">
      <w:pPr>
        <w:spacing w:line="276" w:lineRule="auto"/>
        <w:rPr>
          <w:sz w:val="24"/>
          <w:lang w:val="en-GB"/>
        </w:rPr>
      </w:pPr>
    </w:p>
    <w:p w:rsidR="009B65EA" w:rsidRPr="001C372E" w:rsidRDefault="009B65EA" w:rsidP="00117BFD">
      <w:pPr>
        <w:pStyle w:val="BodyText"/>
        <w:spacing w:line="276" w:lineRule="auto"/>
        <w:rPr>
          <w:u w:val="single"/>
          <w:lang w:val="en-GB"/>
        </w:rPr>
      </w:pPr>
      <w:r w:rsidRPr="001C372E">
        <w:rPr>
          <w:u w:val="single"/>
          <w:lang w:val="en-GB"/>
        </w:rPr>
        <w:t>Where we are</w:t>
      </w:r>
      <w:r w:rsidR="001C372E">
        <w:rPr>
          <w:u w:val="single"/>
          <w:lang w:val="en-GB"/>
        </w:rPr>
        <w:t xml:space="preserve"> now</w:t>
      </w:r>
    </w:p>
    <w:p w:rsidR="009B65EA" w:rsidRPr="00913267" w:rsidRDefault="009B65EA" w:rsidP="00117BFD">
      <w:pPr>
        <w:pStyle w:val="BodyText"/>
        <w:spacing w:line="276" w:lineRule="auto"/>
        <w:rPr>
          <w:b/>
          <w:lang w:val="en-GB"/>
        </w:rPr>
      </w:pPr>
    </w:p>
    <w:p w:rsidR="009B65EA" w:rsidRPr="00913267" w:rsidRDefault="001C372E" w:rsidP="001C372E">
      <w:pPr>
        <w:pStyle w:val="BodyText"/>
        <w:spacing w:line="276" w:lineRule="auto"/>
        <w:jc w:val="both"/>
        <w:rPr>
          <w:lang w:val="en-GB"/>
        </w:rPr>
      </w:pPr>
      <w:r>
        <w:rPr>
          <w:lang w:val="en-GB"/>
        </w:rPr>
        <w:t>Significant</w:t>
      </w:r>
      <w:r w:rsidR="009B65EA" w:rsidRPr="00913267">
        <w:rPr>
          <w:lang w:val="en-GB"/>
        </w:rPr>
        <w:t xml:space="preserve"> progress has been noted since the 2010 to 2015 strategy and they are </w:t>
      </w:r>
      <w:r>
        <w:rPr>
          <w:lang w:val="en-GB"/>
        </w:rPr>
        <w:t xml:space="preserve">as </w:t>
      </w:r>
      <w:r w:rsidR="009B65EA" w:rsidRPr="00913267">
        <w:rPr>
          <w:lang w:val="en-GB"/>
        </w:rPr>
        <w:t>follows:</w:t>
      </w:r>
    </w:p>
    <w:p w:rsidR="009B65EA" w:rsidRPr="00913267" w:rsidRDefault="009B65EA" w:rsidP="001C372E">
      <w:pPr>
        <w:pStyle w:val="BodyText"/>
        <w:numPr>
          <w:ilvl w:val="0"/>
          <w:numId w:val="21"/>
        </w:numPr>
        <w:spacing w:line="276" w:lineRule="auto"/>
        <w:jc w:val="both"/>
        <w:rPr>
          <w:lang w:val="en-GB"/>
        </w:rPr>
      </w:pPr>
      <w:r w:rsidRPr="00913267">
        <w:rPr>
          <w:lang w:val="en-GB"/>
        </w:rPr>
        <w:t xml:space="preserve">Partnership working between the Memory Assessment Service </w:t>
      </w:r>
      <w:r w:rsidR="001C372E">
        <w:rPr>
          <w:lang w:val="en-GB"/>
        </w:rPr>
        <w:t>(</w:t>
      </w:r>
      <w:r w:rsidRPr="00913267">
        <w:rPr>
          <w:lang w:val="en-GB"/>
        </w:rPr>
        <w:t>MAS</w:t>
      </w:r>
      <w:r w:rsidR="001E5044">
        <w:rPr>
          <w:lang w:val="en-GB"/>
        </w:rPr>
        <w:t xml:space="preserve">), GP’s, </w:t>
      </w:r>
      <w:r w:rsidR="001C372E">
        <w:rPr>
          <w:lang w:val="en-GB"/>
        </w:rPr>
        <w:t>Ac</w:t>
      </w:r>
      <w:r w:rsidR="001E5044">
        <w:rPr>
          <w:lang w:val="en-GB"/>
        </w:rPr>
        <w:t xml:space="preserve">ute Hospitals, and </w:t>
      </w:r>
      <w:r w:rsidRPr="00913267">
        <w:rPr>
          <w:lang w:val="en-GB"/>
        </w:rPr>
        <w:t>through referral</w:t>
      </w:r>
      <w:r w:rsidR="001E5044">
        <w:rPr>
          <w:lang w:val="en-GB"/>
        </w:rPr>
        <w:t xml:space="preserve"> agencies</w:t>
      </w:r>
    </w:p>
    <w:p w:rsidR="009B65EA" w:rsidRPr="00913267" w:rsidRDefault="009B65EA" w:rsidP="001C372E">
      <w:pPr>
        <w:pStyle w:val="BodyText"/>
        <w:numPr>
          <w:ilvl w:val="0"/>
          <w:numId w:val="21"/>
        </w:numPr>
        <w:spacing w:line="276" w:lineRule="auto"/>
        <w:jc w:val="both"/>
        <w:rPr>
          <w:lang w:val="en-GB"/>
        </w:rPr>
      </w:pPr>
      <w:r w:rsidRPr="00913267">
        <w:rPr>
          <w:lang w:val="en-GB"/>
        </w:rPr>
        <w:t>Sign Posting to V</w:t>
      </w:r>
      <w:r w:rsidR="001E5044">
        <w:rPr>
          <w:lang w:val="en-GB"/>
        </w:rPr>
        <w:t xml:space="preserve">oluntary and </w:t>
      </w:r>
      <w:r w:rsidRPr="00913267">
        <w:rPr>
          <w:lang w:val="en-GB"/>
        </w:rPr>
        <w:t>C</w:t>
      </w:r>
      <w:r w:rsidR="001E5044">
        <w:rPr>
          <w:lang w:val="en-GB"/>
        </w:rPr>
        <w:t xml:space="preserve">ommunity </w:t>
      </w:r>
      <w:r w:rsidRPr="00913267">
        <w:rPr>
          <w:lang w:val="en-GB"/>
        </w:rPr>
        <w:t>S</w:t>
      </w:r>
      <w:r w:rsidR="001E5044">
        <w:rPr>
          <w:lang w:val="en-GB"/>
        </w:rPr>
        <w:t xml:space="preserve">ector Organisations </w:t>
      </w:r>
      <w:r w:rsidRPr="00913267">
        <w:rPr>
          <w:lang w:val="en-GB"/>
        </w:rPr>
        <w:t>resource</w:t>
      </w:r>
      <w:r w:rsidR="001E5044">
        <w:rPr>
          <w:lang w:val="en-GB"/>
        </w:rPr>
        <w:t xml:space="preserve"> funded and non-resource funded</w:t>
      </w:r>
      <w:r w:rsidRPr="00913267">
        <w:rPr>
          <w:lang w:val="en-GB"/>
        </w:rPr>
        <w:t xml:space="preserve"> support services in Harrow</w:t>
      </w:r>
    </w:p>
    <w:p w:rsidR="009B65EA" w:rsidRPr="00913267" w:rsidRDefault="009B65EA" w:rsidP="001C372E">
      <w:pPr>
        <w:pStyle w:val="BodyText"/>
        <w:numPr>
          <w:ilvl w:val="0"/>
          <w:numId w:val="21"/>
        </w:numPr>
        <w:spacing w:line="276" w:lineRule="auto"/>
        <w:jc w:val="both"/>
        <w:rPr>
          <w:lang w:val="en-GB"/>
        </w:rPr>
      </w:pPr>
      <w:r w:rsidRPr="00913267">
        <w:rPr>
          <w:lang w:val="en-GB"/>
        </w:rPr>
        <w:t>Weekly Local Authority engagement with older people services</w:t>
      </w:r>
      <w:r w:rsidR="000725C2">
        <w:rPr>
          <w:lang w:val="en-GB"/>
        </w:rPr>
        <w:t xml:space="preserve">, CCG and Acute Mental Health </w:t>
      </w:r>
      <w:r w:rsidR="007A5DB9">
        <w:rPr>
          <w:lang w:val="en-GB"/>
        </w:rPr>
        <w:t>services to prevent ‘delayed transfers of care’</w:t>
      </w:r>
      <w:r w:rsidR="001E5044">
        <w:rPr>
          <w:lang w:val="en-GB"/>
        </w:rPr>
        <w:t xml:space="preserve"> (</w:t>
      </w:r>
      <w:proofErr w:type="spellStart"/>
      <w:r w:rsidR="001E5044">
        <w:rPr>
          <w:lang w:val="en-GB"/>
        </w:rPr>
        <w:t>DToC</w:t>
      </w:r>
      <w:proofErr w:type="spellEnd"/>
      <w:r w:rsidR="001E5044">
        <w:rPr>
          <w:lang w:val="en-GB"/>
        </w:rPr>
        <w:t>)</w:t>
      </w:r>
    </w:p>
    <w:p w:rsidR="009B65EA" w:rsidRPr="00913267" w:rsidRDefault="009B65EA" w:rsidP="001C372E">
      <w:pPr>
        <w:pStyle w:val="BodyText"/>
        <w:numPr>
          <w:ilvl w:val="0"/>
          <w:numId w:val="21"/>
        </w:numPr>
        <w:spacing w:line="276" w:lineRule="auto"/>
        <w:jc w:val="both"/>
        <w:rPr>
          <w:lang w:val="en-GB"/>
        </w:rPr>
      </w:pPr>
      <w:r w:rsidRPr="00913267">
        <w:rPr>
          <w:lang w:val="en-GB"/>
        </w:rPr>
        <w:t>Co-located social worker based in the team</w:t>
      </w:r>
    </w:p>
    <w:p w:rsidR="005911AA" w:rsidRPr="00913267" w:rsidRDefault="005911AA" w:rsidP="001C372E">
      <w:pPr>
        <w:pStyle w:val="BodyText"/>
        <w:numPr>
          <w:ilvl w:val="0"/>
          <w:numId w:val="21"/>
        </w:numPr>
        <w:spacing w:line="276" w:lineRule="auto"/>
        <w:jc w:val="both"/>
        <w:rPr>
          <w:lang w:val="en-GB"/>
        </w:rPr>
      </w:pPr>
      <w:r w:rsidRPr="00913267">
        <w:rPr>
          <w:lang w:val="en-GB"/>
        </w:rPr>
        <w:t>A pre-screening tool has been designed for Nursing Home staff to review their patients where dementia is indicated but not diagnosed. This will allow a more focused approach for the MAS and GPs. The screening  tool has been shared with the Local Authority to deploy in partnership working with Nursing Homes</w:t>
      </w:r>
    </w:p>
    <w:p w:rsidR="005911AA" w:rsidRPr="00913267" w:rsidRDefault="005911AA" w:rsidP="001C372E">
      <w:pPr>
        <w:pStyle w:val="BodyText"/>
        <w:numPr>
          <w:ilvl w:val="0"/>
          <w:numId w:val="21"/>
        </w:numPr>
        <w:spacing w:line="276" w:lineRule="auto"/>
        <w:jc w:val="both"/>
        <w:rPr>
          <w:lang w:val="en-GB"/>
        </w:rPr>
      </w:pPr>
      <w:r w:rsidRPr="00913267">
        <w:rPr>
          <w:lang w:val="en-GB"/>
        </w:rPr>
        <w:t>MAS service already participating in reviews of patients in nursing homes</w:t>
      </w:r>
    </w:p>
    <w:p w:rsidR="005911AA" w:rsidRPr="00913267" w:rsidRDefault="005911AA" w:rsidP="001C372E">
      <w:pPr>
        <w:pStyle w:val="BodyText"/>
        <w:numPr>
          <w:ilvl w:val="0"/>
          <w:numId w:val="21"/>
        </w:numPr>
        <w:spacing w:line="276" w:lineRule="auto"/>
        <w:jc w:val="both"/>
        <w:rPr>
          <w:lang w:val="en-GB"/>
        </w:rPr>
      </w:pPr>
      <w:r w:rsidRPr="00913267">
        <w:rPr>
          <w:lang w:val="en-GB"/>
        </w:rPr>
        <w:t>CNWL and the MAS are training all their staff; ‘Make every contact count’</w:t>
      </w:r>
    </w:p>
    <w:p w:rsidR="005911AA" w:rsidRPr="00913267" w:rsidRDefault="005911AA" w:rsidP="001C372E">
      <w:pPr>
        <w:pStyle w:val="BodyText"/>
        <w:numPr>
          <w:ilvl w:val="0"/>
          <w:numId w:val="21"/>
        </w:numPr>
        <w:spacing w:line="276" w:lineRule="auto"/>
        <w:jc w:val="both"/>
        <w:rPr>
          <w:lang w:val="en-GB"/>
        </w:rPr>
      </w:pPr>
      <w:r w:rsidRPr="00913267">
        <w:rPr>
          <w:lang w:val="en-GB"/>
        </w:rPr>
        <w:t>Harrow Patient Participation Network and CCG Engagement Team are working together to develop a strategy for public engagement to raise awareness and to de-stigmatise dementia.</w:t>
      </w:r>
    </w:p>
    <w:p w:rsidR="009B65EA" w:rsidRPr="001E5044" w:rsidRDefault="009B65EA" w:rsidP="001C372E">
      <w:pPr>
        <w:pStyle w:val="BodyText"/>
        <w:numPr>
          <w:ilvl w:val="0"/>
          <w:numId w:val="21"/>
        </w:numPr>
        <w:spacing w:line="276" w:lineRule="auto"/>
        <w:jc w:val="both"/>
        <w:rPr>
          <w:lang w:val="en-GB"/>
        </w:rPr>
      </w:pPr>
      <w:r w:rsidRPr="001E5044">
        <w:rPr>
          <w:lang w:val="en-GB"/>
        </w:rPr>
        <w:t>Post diagnostic information pack</w:t>
      </w:r>
      <w:r w:rsidR="001E5044" w:rsidRPr="001E5044">
        <w:rPr>
          <w:lang w:val="en-GB"/>
        </w:rPr>
        <w:t>s</w:t>
      </w:r>
      <w:r w:rsidRPr="001E5044">
        <w:rPr>
          <w:lang w:val="en-GB"/>
        </w:rPr>
        <w:t xml:space="preserve"> given to all service users and carers which include information on Housing benefits, community transport and various voluntary</w:t>
      </w:r>
      <w:r w:rsidR="001E5044" w:rsidRPr="001E5044">
        <w:rPr>
          <w:lang w:val="en-GB"/>
        </w:rPr>
        <w:t xml:space="preserve"> </w:t>
      </w:r>
      <w:r w:rsidR="001E5044">
        <w:rPr>
          <w:lang w:val="en-GB"/>
        </w:rPr>
        <w:t xml:space="preserve">and community sector </w:t>
      </w:r>
      <w:r w:rsidRPr="001E5044">
        <w:rPr>
          <w:lang w:val="en-GB"/>
        </w:rPr>
        <w:t>organisations.</w:t>
      </w:r>
    </w:p>
    <w:p w:rsidR="005911AA" w:rsidRPr="00913267" w:rsidRDefault="005911AA" w:rsidP="00117BFD">
      <w:pPr>
        <w:pStyle w:val="BodyText"/>
        <w:spacing w:line="276" w:lineRule="auto"/>
        <w:ind w:left="720"/>
        <w:rPr>
          <w:color w:val="FF0000"/>
          <w:lang w:val="en-GB"/>
        </w:rPr>
      </w:pPr>
    </w:p>
    <w:p w:rsidR="009B65EA" w:rsidRPr="001E5044" w:rsidRDefault="009B65EA" w:rsidP="00117BFD">
      <w:pPr>
        <w:pStyle w:val="BodyText"/>
        <w:spacing w:line="276" w:lineRule="auto"/>
        <w:rPr>
          <w:u w:val="single"/>
          <w:lang w:val="en-GB"/>
        </w:rPr>
      </w:pPr>
      <w:r w:rsidRPr="001E5044">
        <w:rPr>
          <w:u w:val="single"/>
          <w:lang w:val="en-GB"/>
        </w:rPr>
        <w:t>Where we want to be</w:t>
      </w:r>
    </w:p>
    <w:p w:rsidR="005911AA" w:rsidRPr="00913267" w:rsidRDefault="005911AA" w:rsidP="00117BFD">
      <w:pPr>
        <w:pStyle w:val="BodyText"/>
        <w:spacing w:line="276" w:lineRule="auto"/>
        <w:rPr>
          <w:b/>
          <w:lang w:val="en-GB"/>
        </w:rPr>
      </w:pPr>
    </w:p>
    <w:p w:rsidR="005911AA" w:rsidRDefault="005911AA" w:rsidP="001E5044">
      <w:pPr>
        <w:pStyle w:val="BodyText"/>
        <w:spacing w:line="276" w:lineRule="auto"/>
        <w:jc w:val="both"/>
        <w:rPr>
          <w:lang w:val="en-GB"/>
        </w:rPr>
      </w:pPr>
      <w:r w:rsidRPr="00913267">
        <w:rPr>
          <w:lang w:val="en-GB"/>
        </w:rPr>
        <w:t>We are doing a lot of work in terms of addressing the stigma and cultural taboo associated with dementia where many families are reluctant to seek help and miss out on health and social care interventions. These include; medication, carer support, advice, family friendly housing, dementia friendly transport, financial help for both carers and users through dementia disability living allowance and carers allowance.</w:t>
      </w:r>
    </w:p>
    <w:p w:rsidR="00D66F86" w:rsidRDefault="00D66F86" w:rsidP="001E5044">
      <w:pPr>
        <w:pStyle w:val="BodyText"/>
        <w:spacing w:line="276" w:lineRule="auto"/>
        <w:jc w:val="both"/>
        <w:rPr>
          <w:lang w:val="en-GB"/>
        </w:rPr>
      </w:pPr>
    </w:p>
    <w:p w:rsidR="00D66F86" w:rsidRPr="00913267" w:rsidRDefault="00D66F86" w:rsidP="00117BFD">
      <w:pPr>
        <w:pStyle w:val="BodyText"/>
        <w:spacing w:line="276" w:lineRule="auto"/>
        <w:rPr>
          <w:lang w:val="en-GB"/>
        </w:rPr>
      </w:pPr>
      <w:r w:rsidRPr="001E5044">
        <w:rPr>
          <w:noProof/>
          <w:bdr w:val="double" w:sz="4" w:space="0" w:color="auto"/>
          <w:shd w:val="clear" w:color="auto" w:fill="DBE5F1" w:themeFill="accent1" w:themeFillTint="33"/>
          <w:lang w:val="en-GB" w:eastAsia="en-GB"/>
        </w:rPr>
        <w:drawing>
          <wp:inline distT="0" distB="0" distL="0" distR="0" wp14:anchorId="10F256DD" wp14:editId="3BFB26BA">
            <wp:extent cx="5943600" cy="259461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25C2" w:rsidRDefault="000725C2" w:rsidP="00117BFD">
      <w:pPr>
        <w:pStyle w:val="BodyText"/>
        <w:spacing w:line="276" w:lineRule="auto"/>
        <w:rPr>
          <w:lang w:val="en-GB"/>
        </w:rPr>
      </w:pPr>
    </w:p>
    <w:p w:rsidR="005911AA" w:rsidRPr="00913267" w:rsidRDefault="000725C2" w:rsidP="000725C2">
      <w:pPr>
        <w:pStyle w:val="BodyText"/>
        <w:spacing w:line="276" w:lineRule="auto"/>
        <w:jc w:val="both"/>
        <w:rPr>
          <w:lang w:val="en-GB"/>
        </w:rPr>
      </w:pPr>
      <w:r>
        <w:rPr>
          <w:lang w:val="en-GB"/>
        </w:rPr>
        <w:t xml:space="preserve">Harrow is on trajectory to meet the Dementia Diagnostic Rate Target of 67% by December 2018. </w:t>
      </w:r>
    </w:p>
    <w:p w:rsidR="001E5044" w:rsidRDefault="001E5044" w:rsidP="000725C2">
      <w:pPr>
        <w:spacing w:line="276" w:lineRule="auto"/>
        <w:jc w:val="both"/>
        <w:rPr>
          <w:sz w:val="24"/>
          <w:szCs w:val="24"/>
          <w:u w:val="single"/>
          <w:lang w:val="en-GB"/>
        </w:rPr>
      </w:pPr>
    </w:p>
    <w:p w:rsidR="000725C2" w:rsidRDefault="000725C2" w:rsidP="00117BFD">
      <w:pPr>
        <w:spacing w:line="276" w:lineRule="auto"/>
        <w:rPr>
          <w:sz w:val="24"/>
          <w:szCs w:val="24"/>
          <w:u w:val="single"/>
          <w:lang w:val="en-GB"/>
        </w:rPr>
      </w:pPr>
    </w:p>
    <w:p w:rsidR="005911AA" w:rsidRPr="001E5044" w:rsidRDefault="005911AA" w:rsidP="00117BFD">
      <w:pPr>
        <w:spacing w:line="276" w:lineRule="auto"/>
        <w:rPr>
          <w:sz w:val="24"/>
          <w:szCs w:val="24"/>
          <w:u w:val="single"/>
          <w:lang w:val="en-GB"/>
        </w:rPr>
      </w:pPr>
      <w:r w:rsidRPr="001E5044">
        <w:rPr>
          <w:sz w:val="24"/>
          <w:szCs w:val="24"/>
          <w:u w:val="single"/>
          <w:lang w:val="en-GB"/>
        </w:rPr>
        <w:t>Harrow CCG Dementia Diagnosis Improvement Plan</w:t>
      </w:r>
    </w:p>
    <w:p w:rsidR="005911AA" w:rsidRPr="00913267" w:rsidRDefault="005911AA" w:rsidP="00117BFD">
      <w:pPr>
        <w:spacing w:line="276" w:lineRule="auto"/>
        <w:rPr>
          <w:b/>
          <w:sz w:val="24"/>
          <w:szCs w:val="24"/>
          <w:lang w:val="en-GB"/>
        </w:rPr>
      </w:pPr>
    </w:p>
    <w:p w:rsidR="005911AA" w:rsidRPr="00913267" w:rsidRDefault="005911AA" w:rsidP="007A5DB9">
      <w:pPr>
        <w:numPr>
          <w:ilvl w:val="0"/>
          <w:numId w:val="17"/>
        </w:numPr>
        <w:spacing w:line="276" w:lineRule="auto"/>
        <w:jc w:val="both"/>
        <w:rPr>
          <w:sz w:val="24"/>
          <w:szCs w:val="24"/>
          <w:lang w:val="en-GB"/>
        </w:rPr>
      </w:pPr>
      <w:r w:rsidRPr="00913267">
        <w:rPr>
          <w:sz w:val="24"/>
          <w:szCs w:val="24"/>
          <w:lang w:val="en-GB"/>
        </w:rPr>
        <w:t>Performance management driven by the Executive tea</w:t>
      </w:r>
      <w:r w:rsidR="007A5DB9">
        <w:rPr>
          <w:sz w:val="24"/>
          <w:szCs w:val="24"/>
          <w:lang w:val="en-GB"/>
        </w:rPr>
        <w:t>m including the Chairman and MD</w:t>
      </w:r>
    </w:p>
    <w:p w:rsidR="005911AA" w:rsidRPr="00913267" w:rsidRDefault="005911AA" w:rsidP="007A5DB9">
      <w:pPr>
        <w:numPr>
          <w:ilvl w:val="0"/>
          <w:numId w:val="17"/>
        </w:numPr>
        <w:spacing w:line="276" w:lineRule="auto"/>
        <w:jc w:val="both"/>
        <w:rPr>
          <w:sz w:val="24"/>
          <w:szCs w:val="24"/>
          <w:lang w:val="en-GB"/>
        </w:rPr>
      </w:pPr>
      <w:r w:rsidRPr="00913267">
        <w:rPr>
          <w:sz w:val="24"/>
          <w:szCs w:val="24"/>
          <w:lang w:val="en-GB"/>
        </w:rPr>
        <w:t xml:space="preserve">Clinical Director for Mental Health </w:t>
      </w:r>
      <w:r w:rsidR="007A5DB9">
        <w:rPr>
          <w:sz w:val="24"/>
          <w:szCs w:val="24"/>
          <w:lang w:val="en-GB"/>
        </w:rPr>
        <w:t xml:space="preserve">has been </w:t>
      </w:r>
      <w:r w:rsidRPr="00913267">
        <w:rPr>
          <w:sz w:val="24"/>
          <w:szCs w:val="24"/>
          <w:lang w:val="en-GB"/>
        </w:rPr>
        <w:t>involved at every level in driving the requirement to increase diagnosis</w:t>
      </w:r>
    </w:p>
    <w:p w:rsidR="005911AA" w:rsidRPr="00913267" w:rsidRDefault="005911AA" w:rsidP="007A5DB9">
      <w:pPr>
        <w:numPr>
          <w:ilvl w:val="0"/>
          <w:numId w:val="17"/>
        </w:numPr>
        <w:spacing w:line="276" w:lineRule="auto"/>
        <w:jc w:val="both"/>
        <w:rPr>
          <w:sz w:val="24"/>
          <w:szCs w:val="24"/>
          <w:lang w:val="en-GB"/>
        </w:rPr>
      </w:pPr>
      <w:r w:rsidRPr="00913267">
        <w:rPr>
          <w:sz w:val="24"/>
          <w:szCs w:val="24"/>
          <w:lang w:val="en-GB"/>
        </w:rPr>
        <w:t>Clinical Director leads meetings held with CNWL (MAS) in trying to drive up numbers being diagnosed</w:t>
      </w:r>
    </w:p>
    <w:p w:rsidR="005911AA" w:rsidRPr="00913267" w:rsidRDefault="007A5DB9" w:rsidP="007A5DB9">
      <w:pPr>
        <w:numPr>
          <w:ilvl w:val="0"/>
          <w:numId w:val="17"/>
        </w:numPr>
        <w:spacing w:line="276" w:lineRule="auto"/>
        <w:jc w:val="both"/>
        <w:rPr>
          <w:sz w:val="24"/>
          <w:szCs w:val="24"/>
          <w:lang w:val="en-GB"/>
        </w:rPr>
      </w:pPr>
      <w:r>
        <w:rPr>
          <w:sz w:val="24"/>
          <w:szCs w:val="24"/>
          <w:lang w:val="en-GB"/>
        </w:rPr>
        <w:t>MD engaging with VCSO’s</w:t>
      </w:r>
      <w:r w:rsidR="005911AA" w:rsidRPr="00913267">
        <w:rPr>
          <w:sz w:val="24"/>
          <w:szCs w:val="24"/>
          <w:lang w:val="en-GB"/>
        </w:rPr>
        <w:t xml:space="preserve"> </w:t>
      </w:r>
      <w:r>
        <w:rPr>
          <w:sz w:val="24"/>
          <w:szCs w:val="24"/>
          <w:lang w:val="en-GB"/>
        </w:rPr>
        <w:t>including</w:t>
      </w:r>
      <w:r w:rsidR="005911AA" w:rsidRPr="00913267">
        <w:rPr>
          <w:sz w:val="24"/>
          <w:szCs w:val="24"/>
          <w:lang w:val="en-GB"/>
        </w:rPr>
        <w:t xml:space="preserve"> Harrow Patient Participation Network to cascade wider awareness  and to seek their support in engaging with users and carers</w:t>
      </w:r>
    </w:p>
    <w:p w:rsidR="005911AA" w:rsidRPr="00913267" w:rsidRDefault="007A5DB9" w:rsidP="007A5DB9">
      <w:pPr>
        <w:numPr>
          <w:ilvl w:val="0"/>
          <w:numId w:val="17"/>
        </w:numPr>
        <w:spacing w:line="276" w:lineRule="auto"/>
        <w:jc w:val="both"/>
        <w:rPr>
          <w:sz w:val="24"/>
          <w:szCs w:val="24"/>
          <w:lang w:val="en-GB"/>
        </w:rPr>
      </w:pPr>
      <w:r>
        <w:rPr>
          <w:sz w:val="24"/>
          <w:szCs w:val="24"/>
          <w:lang w:val="en-GB"/>
        </w:rPr>
        <w:t>Areas of</w:t>
      </w:r>
      <w:r w:rsidR="005911AA" w:rsidRPr="00913267">
        <w:rPr>
          <w:sz w:val="24"/>
          <w:szCs w:val="24"/>
          <w:lang w:val="en-GB"/>
        </w:rPr>
        <w:t xml:space="preserve"> underperformance </w:t>
      </w:r>
      <w:r>
        <w:rPr>
          <w:sz w:val="24"/>
          <w:szCs w:val="24"/>
          <w:lang w:val="en-GB"/>
        </w:rPr>
        <w:t>reviewed</w:t>
      </w:r>
      <w:r w:rsidR="005911AA" w:rsidRPr="00913267">
        <w:rPr>
          <w:sz w:val="24"/>
          <w:szCs w:val="24"/>
          <w:lang w:val="en-GB"/>
        </w:rPr>
        <w:t xml:space="preserve"> regularly at the </w:t>
      </w:r>
      <w:r>
        <w:rPr>
          <w:sz w:val="24"/>
          <w:szCs w:val="24"/>
          <w:lang w:val="en-GB"/>
        </w:rPr>
        <w:t>MDs</w:t>
      </w:r>
      <w:r w:rsidR="005911AA" w:rsidRPr="00913267">
        <w:rPr>
          <w:sz w:val="24"/>
          <w:szCs w:val="24"/>
          <w:lang w:val="en-GB"/>
        </w:rPr>
        <w:t xml:space="preserve">/CDs </w:t>
      </w:r>
      <w:r>
        <w:rPr>
          <w:sz w:val="24"/>
          <w:szCs w:val="24"/>
          <w:lang w:val="en-GB"/>
        </w:rPr>
        <w:t xml:space="preserve">where </w:t>
      </w:r>
      <w:r w:rsidR="005911AA" w:rsidRPr="00913267">
        <w:rPr>
          <w:sz w:val="24"/>
          <w:szCs w:val="24"/>
          <w:lang w:val="en-GB"/>
        </w:rPr>
        <w:t>discussions to assess any additional approaches that can be taken and to quantify the impact of any actions already taken.</w:t>
      </w:r>
    </w:p>
    <w:p w:rsidR="005911AA" w:rsidRPr="00913267" w:rsidRDefault="005911AA" w:rsidP="007A5DB9">
      <w:pPr>
        <w:numPr>
          <w:ilvl w:val="0"/>
          <w:numId w:val="17"/>
        </w:numPr>
        <w:spacing w:line="276" w:lineRule="auto"/>
        <w:jc w:val="both"/>
        <w:rPr>
          <w:sz w:val="24"/>
          <w:szCs w:val="24"/>
          <w:lang w:val="en-GB"/>
        </w:rPr>
      </w:pPr>
      <w:r w:rsidRPr="00913267">
        <w:rPr>
          <w:sz w:val="24"/>
          <w:szCs w:val="24"/>
          <w:lang w:val="en-GB"/>
        </w:rPr>
        <w:t>Dementia performance is also discussed at the Finance Recovery Operation Group under the  assurance section</w:t>
      </w:r>
    </w:p>
    <w:p w:rsidR="005911AA" w:rsidRPr="00913267" w:rsidRDefault="007A5DB9" w:rsidP="007A5DB9">
      <w:pPr>
        <w:numPr>
          <w:ilvl w:val="0"/>
          <w:numId w:val="17"/>
        </w:numPr>
        <w:spacing w:line="276" w:lineRule="auto"/>
        <w:jc w:val="both"/>
        <w:rPr>
          <w:sz w:val="24"/>
          <w:szCs w:val="24"/>
          <w:lang w:val="en-GB"/>
        </w:rPr>
      </w:pPr>
      <w:r>
        <w:rPr>
          <w:sz w:val="24"/>
          <w:szCs w:val="24"/>
          <w:lang w:val="en-GB"/>
        </w:rPr>
        <w:t>Reports including Dementia p</w:t>
      </w:r>
      <w:r w:rsidR="005911AA" w:rsidRPr="00913267">
        <w:rPr>
          <w:sz w:val="24"/>
          <w:szCs w:val="24"/>
          <w:lang w:val="en-GB"/>
        </w:rPr>
        <w:t>erformance is reviewed at the F</w:t>
      </w:r>
      <w:r>
        <w:rPr>
          <w:sz w:val="24"/>
          <w:szCs w:val="24"/>
          <w:lang w:val="en-GB"/>
        </w:rPr>
        <w:t>inance</w:t>
      </w:r>
      <w:r w:rsidR="005911AA" w:rsidRPr="00913267">
        <w:rPr>
          <w:sz w:val="24"/>
          <w:szCs w:val="24"/>
          <w:lang w:val="en-GB"/>
        </w:rPr>
        <w:t xml:space="preserve"> &amp; P</w:t>
      </w:r>
      <w:r>
        <w:rPr>
          <w:sz w:val="24"/>
          <w:szCs w:val="24"/>
          <w:lang w:val="en-GB"/>
        </w:rPr>
        <w:t>erformance C</w:t>
      </w:r>
      <w:r w:rsidR="005911AA" w:rsidRPr="00913267">
        <w:rPr>
          <w:sz w:val="24"/>
          <w:szCs w:val="24"/>
          <w:lang w:val="en-GB"/>
        </w:rPr>
        <w:t>ommittee</w:t>
      </w:r>
    </w:p>
    <w:p w:rsidR="005911AA" w:rsidRPr="007A5DB9" w:rsidRDefault="005911AA" w:rsidP="007A5DB9">
      <w:pPr>
        <w:numPr>
          <w:ilvl w:val="0"/>
          <w:numId w:val="17"/>
        </w:numPr>
        <w:spacing w:line="276" w:lineRule="auto"/>
        <w:jc w:val="both"/>
        <w:rPr>
          <w:sz w:val="24"/>
          <w:szCs w:val="24"/>
          <w:lang w:val="en-GB"/>
        </w:rPr>
      </w:pPr>
      <w:r w:rsidRPr="00913267">
        <w:rPr>
          <w:sz w:val="24"/>
          <w:szCs w:val="24"/>
          <w:lang w:val="en-GB"/>
        </w:rPr>
        <w:t xml:space="preserve">Performance against all areas including Dementia is </w:t>
      </w:r>
      <w:r w:rsidR="007A5DB9">
        <w:rPr>
          <w:sz w:val="24"/>
          <w:szCs w:val="24"/>
          <w:lang w:val="en-GB"/>
        </w:rPr>
        <w:t>review</w:t>
      </w:r>
      <w:r w:rsidRPr="00913267">
        <w:rPr>
          <w:sz w:val="24"/>
          <w:szCs w:val="24"/>
          <w:lang w:val="en-GB"/>
        </w:rPr>
        <w:t>ed at the Senior Leadership Team</w:t>
      </w:r>
    </w:p>
    <w:p w:rsidR="005911AA" w:rsidRDefault="005911AA" w:rsidP="00117BFD">
      <w:pPr>
        <w:spacing w:line="276" w:lineRule="auto"/>
        <w:rPr>
          <w:sz w:val="24"/>
          <w:szCs w:val="24"/>
          <w:lang w:val="en-GB"/>
        </w:rPr>
      </w:pPr>
    </w:p>
    <w:p w:rsidR="007A5DB9" w:rsidRPr="00913267" w:rsidRDefault="007A5DB9" w:rsidP="00117BFD">
      <w:pPr>
        <w:spacing w:line="276" w:lineRule="auto"/>
        <w:rPr>
          <w:sz w:val="24"/>
          <w:szCs w:val="24"/>
          <w:lang w:val="en-GB"/>
        </w:rPr>
      </w:pPr>
    </w:p>
    <w:p w:rsidR="005911AA" w:rsidRPr="001E5044" w:rsidRDefault="005911AA" w:rsidP="00117BFD">
      <w:pPr>
        <w:spacing w:line="276" w:lineRule="auto"/>
        <w:rPr>
          <w:sz w:val="24"/>
          <w:szCs w:val="24"/>
          <w:u w:val="single"/>
          <w:lang w:val="en-GB"/>
        </w:rPr>
      </w:pPr>
      <w:r w:rsidRPr="001E5044">
        <w:rPr>
          <w:sz w:val="24"/>
          <w:szCs w:val="24"/>
          <w:u w:val="single"/>
          <w:lang w:val="en-GB"/>
        </w:rPr>
        <w:t>CCG strategies to deliver the diagnosis ambitions</w:t>
      </w:r>
    </w:p>
    <w:p w:rsidR="005911AA" w:rsidRPr="00913267" w:rsidRDefault="005911AA" w:rsidP="00117BFD">
      <w:pPr>
        <w:spacing w:line="276" w:lineRule="auto"/>
        <w:rPr>
          <w:b/>
          <w:sz w:val="24"/>
          <w:szCs w:val="24"/>
          <w:lang w:val="en-GB"/>
        </w:rPr>
      </w:pPr>
    </w:p>
    <w:p w:rsidR="007A5DB9" w:rsidRDefault="005911AA" w:rsidP="00550974">
      <w:pPr>
        <w:numPr>
          <w:ilvl w:val="0"/>
          <w:numId w:val="18"/>
        </w:numPr>
        <w:spacing w:line="276" w:lineRule="auto"/>
        <w:jc w:val="both"/>
        <w:rPr>
          <w:sz w:val="24"/>
          <w:szCs w:val="24"/>
          <w:lang w:val="en-GB"/>
        </w:rPr>
      </w:pPr>
      <w:r w:rsidRPr="00913267">
        <w:rPr>
          <w:sz w:val="24"/>
          <w:szCs w:val="24"/>
          <w:lang w:val="en-GB"/>
        </w:rPr>
        <w:t xml:space="preserve">Practices have been asked to check the </w:t>
      </w:r>
      <w:r w:rsidR="00550974">
        <w:rPr>
          <w:sz w:val="24"/>
          <w:szCs w:val="24"/>
          <w:lang w:val="en-GB"/>
        </w:rPr>
        <w:t>quality outcome framework (</w:t>
      </w:r>
      <w:r w:rsidRPr="00913267">
        <w:rPr>
          <w:sz w:val="24"/>
          <w:szCs w:val="24"/>
          <w:lang w:val="en-GB"/>
        </w:rPr>
        <w:t>QOF</w:t>
      </w:r>
      <w:r w:rsidR="00550974">
        <w:rPr>
          <w:sz w:val="24"/>
          <w:szCs w:val="24"/>
          <w:lang w:val="en-GB"/>
        </w:rPr>
        <w:t>)</w:t>
      </w:r>
      <w:r w:rsidRPr="00913267">
        <w:rPr>
          <w:sz w:val="24"/>
          <w:szCs w:val="24"/>
          <w:lang w:val="en-GB"/>
        </w:rPr>
        <w:t xml:space="preserve"> to ensure patients are recorded correctly. </w:t>
      </w:r>
    </w:p>
    <w:p w:rsidR="005911AA" w:rsidRPr="007A5DB9" w:rsidRDefault="007A5DB9" w:rsidP="00550974">
      <w:pPr>
        <w:numPr>
          <w:ilvl w:val="0"/>
          <w:numId w:val="18"/>
        </w:numPr>
        <w:spacing w:line="276" w:lineRule="auto"/>
        <w:jc w:val="both"/>
        <w:rPr>
          <w:sz w:val="24"/>
          <w:szCs w:val="24"/>
          <w:lang w:val="en-GB"/>
        </w:rPr>
      </w:pPr>
      <w:r w:rsidRPr="007A5DB9">
        <w:rPr>
          <w:sz w:val="24"/>
          <w:szCs w:val="24"/>
          <w:lang w:val="en-GB"/>
        </w:rPr>
        <w:t xml:space="preserve">The </w:t>
      </w:r>
      <w:r w:rsidR="005911AA" w:rsidRPr="007A5DB9">
        <w:rPr>
          <w:sz w:val="24"/>
          <w:szCs w:val="24"/>
          <w:lang w:val="en-GB"/>
        </w:rPr>
        <w:t xml:space="preserve">message </w:t>
      </w:r>
      <w:r>
        <w:rPr>
          <w:sz w:val="24"/>
          <w:szCs w:val="24"/>
          <w:lang w:val="en-GB"/>
        </w:rPr>
        <w:t>h</w:t>
      </w:r>
      <w:r w:rsidR="005911AA" w:rsidRPr="007A5DB9">
        <w:rPr>
          <w:sz w:val="24"/>
          <w:szCs w:val="24"/>
          <w:lang w:val="en-GB"/>
        </w:rPr>
        <w:t xml:space="preserve">as </w:t>
      </w:r>
      <w:r>
        <w:rPr>
          <w:sz w:val="24"/>
          <w:szCs w:val="24"/>
          <w:lang w:val="en-GB"/>
        </w:rPr>
        <w:t xml:space="preserve">been </w:t>
      </w:r>
      <w:r w:rsidR="005911AA" w:rsidRPr="007A5DB9">
        <w:rPr>
          <w:sz w:val="24"/>
          <w:szCs w:val="24"/>
          <w:lang w:val="en-GB"/>
        </w:rPr>
        <w:t xml:space="preserve">repeated in </w:t>
      </w:r>
      <w:r>
        <w:rPr>
          <w:sz w:val="24"/>
          <w:szCs w:val="24"/>
          <w:lang w:val="en-GB"/>
        </w:rPr>
        <w:t>other formats</w:t>
      </w:r>
      <w:r w:rsidR="005911AA" w:rsidRPr="007A5DB9">
        <w:rPr>
          <w:sz w:val="24"/>
          <w:szCs w:val="24"/>
          <w:lang w:val="en-GB"/>
        </w:rPr>
        <w:t xml:space="preserve"> to all GP Practices </w:t>
      </w:r>
      <w:r>
        <w:rPr>
          <w:sz w:val="24"/>
          <w:szCs w:val="24"/>
          <w:lang w:val="en-GB"/>
        </w:rPr>
        <w:t>during</w:t>
      </w:r>
      <w:r w:rsidR="005911AA" w:rsidRPr="007A5DB9">
        <w:rPr>
          <w:sz w:val="24"/>
          <w:szCs w:val="24"/>
          <w:lang w:val="en-GB"/>
        </w:rPr>
        <w:t xml:space="preserve"> 2018</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 xml:space="preserve">Harrow CCG </w:t>
      </w:r>
      <w:r w:rsidR="00113AE7" w:rsidRPr="00913267">
        <w:rPr>
          <w:sz w:val="24"/>
          <w:szCs w:val="24"/>
          <w:lang w:val="en-GB"/>
        </w:rPr>
        <w:t>is</w:t>
      </w:r>
      <w:r w:rsidRPr="00913267">
        <w:rPr>
          <w:sz w:val="24"/>
          <w:szCs w:val="24"/>
          <w:lang w:val="en-GB"/>
        </w:rPr>
        <w:t xml:space="preserve"> in the process of using </w:t>
      </w:r>
      <w:r w:rsidR="00113AE7" w:rsidRPr="00913267">
        <w:rPr>
          <w:sz w:val="24"/>
          <w:szCs w:val="24"/>
          <w:lang w:val="en-GB"/>
        </w:rPr>
        <w:t>an</w:t>
      </w:r>
      <w:r w:rsidRPr="00913267">
        <w:rPr>
          <w:sz w:val="24"/>
          <w:szCs w:val="24"/>
          <w:lang w:val="en-GB"/>
        </w:rPr>
        <w:t xml:space="preserve"> EMIS Specialist to deep-dive ensuring effective cl</w:t>
      </w:r>
      <w:r w:rsidR="00550974">
        <w:rPr>
          <w:sz w:val="24"/>
          <w:szCs w:val="24"/>
          <w:lang w:val="en-GB"/>
        </w:rPr>
        <w:t>eansing of all registers. M</w:t>
      </w:r>
      <w:r w:rsidRPr="00913267">
        <w:rPr>
          <w:sz w:val="24"/>
          <w:szCs w:val="24"/>
          <w:lang w:val="en-GB"/>
        </w:rPr>
        <w:t>onitoring will be undertaken practice by practice.</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In the letter to GP</w:t>
      </w:r>
      <w:r w:rsidR="00550974">
        <w:rPr>
          <w:sz w:val="24"/>
          <w:szCs w:val="24"/>
          <w:lang w:val="en-GB"/>
        </w:rPr>
        <w:t xml:space="preserve"> practices Harrow CCG suggest; p</w:t>
      </w:r>
      <w:r w:rsidRPr="00913267">
        <w:rPr>
          <w:sz w:val="24"/>
          <w:szCs w:val="24"/>
          <w:lang w:val="en-GB"/>
        </w:rPr>
        <w:t>ractices review all treatment cases on ‘GP EMIS’ where reversible medications (</w:t>
      </w:r>
      <w:proofErr w:type="spellStart"/>
      <w:r w:rsidRPr="00913267">
        <w:rPr>
          <w:sz w:val="24"/>
          <w:szCs w:val="24"/>
          <w:lang w:val="en-GB"/>
        </w:rPr>
        <w:t>Acetylcholinesterase</w:t>
      </w:r>
      <w:proofErr w:type="spellEnd"/>
      <w:r w:rsidRPr="00913267">
        <w:rPr>
          <w:sz w:val="24"/>
          <w:szCs w:val="24"/>
          <w:lang w:val="en-GB"/>
        </w:rPr>
        <w:t xml:space="preserve"> inhibitors) are being used for patient not  diagnosed with dementia or review how they are being coded. In addition GPs are asked to review their coding for cognitive impairment as in some cases these can be coded as ‘Dementia unspecified’ (Read Code: Eu02z).</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Harrow CCG will follow up the cleansing with the joint harmonisation work</w:t>
      </w:r>
      <w:r w:rsidR="00550974">
        <w:rPr>
          <w:sz w:val="24"/>
          <w:szCs w:val="24"/>
          <w:lang w:val="en-GB"/>
        </w:rPr>
        <w:t xml:space="preserve"> in collaboration</w:t>
      </w:r>
      <w:r w:rsidRPr="00913267">
        <w:rPr>
          <w:sz w:val="24"/>
          <w:szCs w:val="24"/>
          <w:lang w:val="en-GB"/>
        </w:rPr>
        <w:t xml:space="preserve"> with CNWL MAS</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GP practices will receive requests from Harrow CCG to maintain compliance fortnightly, then  monthly dependent on outcome</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CNWL (MAS) are undertaking a reconciliation of all diagnosed cases with GP practice record.</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The CCG is supporting CNWL MAS with additional admin staffing to deliver this initiative.</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On completion this should form the basis of a full and ‘live’ Dementia Register for Harrow</w:t>
      </w:r>
    </w:p>
    <w:p w:rsidR="005911AA" w:rsidRPr="00913267" w:rsidRDefault="00550974" w:rsidP="00550974">
      <w:pPr>
        <w:numPr>
          <w:ilvl w:val="0"/>
          <w:numId w:val="18"/>
        </w:numPr>
        <w:spacing w:line="276" w:lineRule="auto"/>
        <w:jc w:val="both"/>
        <w:rPr>
          <w:sz w:val="24"/>
          <w:szCs w:val="24"/>
          <w:lang w:val="en-GB"/>
        </w:rPr>
      </w:pPr>
      <w:r>
        <w:rPr>
          <w:sz w:val="24"/>
          <w:szCs w:val="24"/>
          <w:lang w:val="en-GB"/>
        </w:rPr>
        <w:t xml:space="preserve">Harrow MH </w:t>
      </w:r>
      <w:r w:rsidR="005911AA" w:rsidRPr="00913267">
        <w:rPr>
          <w:sz w:val="24"/>
          <w:szCs w:val="24"/>
          <w:lang w:val="en-GB"/>
        </w:rPr>
        <w:t xml:space="preserve">Commissioners, CNWL, London Borough of Harrow and the </w:t>
      </w:r>
      <w:r>
        <w:rPr>
          <w:sz w:val="24"/>
          <w:szCs w:val="24"/>
          <w:lang w:val="en-GB"/>
        </w:rPr>
        <w:t xml:space="preserve">Voluntary and </w:t>
      </w:r>
      <w:r w:rsidR="005911AA" w:rsidRPr="00913267">
        <w:rPr>
          <w:sz w:val="24"/>
          <w:szCs w:val="24"/>
          <w:lang w:val="en-GB"/>
        </w:rPr>
        <w:t>Community Sector are developing a strategy for post-diagnostic support. The Dementia Strategy (2018-2020) is due to go to the Harrow Health  and Social Care Scrutiny Committee in October 2018</w:t>
      </w:r>
    </w:p>
    <w:p w:rsidR="005911AA" w:rsidRPr="00913267" w:rsidRDefault="005911AA" w:rsidP="00550974">
      <w:pPr>
        <w:numPr>
          <w:ilvl w:val="0"/>
          <w:numId w:val="18"/>
        </w:numPr>
        <w:spacing w:line="276" w:lineRule="auto"/>
        <w:jc w:val="both"/>
        <w:rPr>
          <w:sz w:val="24"/>
          <w:szCs w:val="24"/>
          <w:lang w:val="en-GB"/>
        </w:rPr>
      </w:pPr>
      <w:r w:rsidRPr="00913267">
        <w:rPr>
          <w:sz w:val="24"/>
          <w:szCs w:val="24"/>
          <w:lang w:val="en-GB"/>
        </w:rPr>
        <w:t xml:space="preserve">Support to deliver this is being requested through Faith Groups, Community Networks, Harrow Carers,  </w:t>
      </w:r>
      <w:r w:rsidR="00550974">
        <w:rPr>
          <w:sz w:val="24"/>
          <w:szCs w:val="24"/>
          <w:lang w:val="en-GB"/>
        </w:rPr>
        <w:t xml:space="preserve">Harrow Mencap, </w:t>
      </w:r>
      <w:r w:rsidRPr="00913267">
        <w:rPr>
          <w:sz w:val="24"/>
          <w:szCs w:val="24"/>
          <w:lang w:val="en-GB"/>
        </w:rPr>
        <w:t>Harrow Mind, Harrow Patient Participation network, and Harrow Association of Somali Voluntary  Organisation</w:t>
      </w:r>
      <w:r w:rsidR="00550974">
        <w:rPr>
          <w:sz w:val="24"/>
          <w:szCs w:val="24"/>
          <w:lang w:val="en-GB"/>
        </w:rPr>
        <w:t>s</w:t>
      </w:r>
    </w:p>
    <w:p w:rsidR="005911AA" w:rsidRPr="00913267" w:rsidRDefault="005911AA" w:rsidP="00550974">
      <w:pPr>
        <w:numPr>
          <w:ilvl w:val="0"/>
          <w:numId w:val="18"/>
        </w:numPr>
        <w:spacing w:line="276" w:lineRule="auto"/>
        <w:jc w:val="both"/>
        <w:rPr>
          <w:color w:val="FF0000"/>
          <w:sz w:val="24"/>
          <w:szCs w:val="24"/>
          <w:lang w:val="en-GB"/>
        </w:rPr>
      </w:pPr>
      <w:r w:rsidRPr="00913267">
        <w:rPr>
          <w:sz w:val="24"/>
          <w:szCs w:val="24"/>
          <w:lang w:val="en-GB"/>
        </w:rPr>
        <w:t xml:space="preserve">Harrow CCG has </w:t>
      </w:r>
      <w:r w:rsidR="00550974">
        <w:rPr>
          <w:sz w:val="24"/>
          <w:szCs w:val="24"/>
          <w:lang w:val="en-GB"/>
        </w:rPr>
        <w:t>commissioned</w:t>
      </w:r>
      <w:r w:rsidRPr="00913267">
        <w:rPr>
          <w:sz w:val="24"/>
          <w:szCs w:val="24"/>
          <w:lang w:val="en-GB"/>
        </w:rPr>
        <w:t xml:space="preserve"> an EMIS specialist experienced in uncovering undiagnosed cases to support GP practices with increasing their </w:t>
      </w:r>
      <w:r w:rsidR="00550974">
        <w:rPr>
          <w:sz w:val="24"/>
          <w:szCs w:val="24"/>
          <w:lang w:val="en-GB"/>
        </w:rPr>
        <w:t xml:space="preserve">dementia </w:t>
      </w:r>
      <w:r w:rsidRPr="00913267">
        <w:rPr>
          <w:sz w:val="24"/>
          <w:szCs w:val="24"/>
          <w:lang w:val="en-GB"/>
        </w:rPr>
        <w:t>diagnosis rate</w:t>
      </w:r>
      <w:r w:rsidRPr="00913267">
        <w:rPr>
          <w:color w:val="FF0000"/>
          <w:sz w:val="24"/>
          <w:szCs w:val="24"/>
          <w:lang w:val="en-GB"/>
        </w:rPr>
        <w:t>.</w:t>
      </w:r>
    </w:p>
    <w:p w:rsidR="005911AA" w:rsidRDefault="005911AA" w:rsidP="00117BFD">
      <w:pPr>
        <w:spacing w:line="276" w:lineRule="auto"/>
        <w:rPr>
          <w:color w:val="FF0000"/>
          <w:sz w:val="24"/>
          <w:szCs w:val="24"/>
          <w:lang w:val="en-GB"/>
        </w:rPr>
      </w:pPr>
    </w:p>
    <w:p w:rsidR="008853EA" w:rsidRPr="00913267" w:rsidRDefault="008853EA" w:rsidP="00117BFD">
      <w:pPr>
        <w:pStyle w:val="Heading1"/>
        <w:tabs>
          <w:tab w:val="left" w:pos="1601"/>
        </w:tabs>
        <w:spacing w:line="276" w:lineRule="auto"/>
        <w:rPr>
          <w:lang w:val="en-GB"/>
        </w:rPr>
      </w:pPr>
    </w:p>
    <w:p w:rsidR="00F445A5" w:rsidRPr="00913267" w:rsidRDefault="00F94833" w:rsidP="00117BFD">
      <w:pPr>
        <w:pStyle w:val="Heading1"/>
        <w:tabs>
          <w:tab w:val="left" w:pos="1601"/>
        </w:tabs>
        <w:spacing w:line="276" w:lineRule="auto"/>
        <w:rPr>
          <w:lang w:val="en-GB"/>
        </w:rPr>
      </w:pPr>
      <w:r w:rsidRPr="00913267">
        <w:rPr>
          <w:lang w:val="en-GB"/>
        </w:rPr>
        <w:t>CONCLUSION</w:t>
      </w:r>
    </w:p>
    <w:p w:rsidR="00840A76" w:rsidRPr="00913267" w:rsidRDefault="00840A76" w:rsidP="00117BFD">
      <w:pPr>
        <w:pStyle w:val="Heading1"/>
        <w:tabs>
          <w:tab w:val="left" w:pos="1601"/>
        </w:tabs>
        <w:spacing w:line="276" w:lineRule="auto"/>
        <w:jc w:val="both"/>
        <w:rPr>
          <w:lang w:val="en-GB"/>
        </w:rPr>
      </w:pPr>
    </w:p>
    <w:p w:rsidR="00840A76" w:rsidRDefault="00A919FD" w:rsidP="00117BFD">
      <w:pPr>
        <w:pStyle w:val="Heading1"/>
        <w:tabs>
          <w:tab w:val="left" w:pos="1601"/>
        </w:tabs>
        <w:spacing w:line="276" w:lineRule="auto"/>
        <w:jc w:val="both"/>
        <w:rPr>
          <w:b w:val="0"/>
          <w:lang w:val="en-GB"/>
        </w:rPr>
      </w:pPr>
      <w:r>
        <w:rPr>
          <w:b w:val="0"/>
          <w:lang w:val="en-GB"/>
        </w:rPr>
        <w:t>The purpose the strategy</w:t>
      </w:r>
      <w:r w:rsidR="00840A76" w:rsidRPr="00913267">
        <w:rPr>
          <w:b w:val="0"/>
          <w:lang w:val="en-GB"/>
        </w:rPr>
        <w:t xml:space="preserve"> is to </w:t>
      </w:r>
      <w:r w:rsidR="00D12396" w:rsidRPr="00913267">
        <w:rPr>
          <w:b w:val="0"/>
          <w:lang w:val="en-GB"/>
        </w:rPr>
        <w:t xml:space="preserve">provide a framework </w:t>
      </w:r>
      <w:r w:rsidR="009127A5" w:rsidRPr="00913267">
        <w:rPr>
          <w:b w:val="0"/>
          <w:lang w:val="en-GB"/>
        </w:rPr>
        <w:t>for creating and empowering dementia environment for the people living with dementia and their families. The focus is to help people with dem</w:t>
      </w:r>
      <w:r w:rsidR="00437B20" w:rsidRPr="00913267">
        <w:rPr>
          <w:b w:val="0"/>
          <w:lang w:val="en-GB"/>
        </w:rPr>
        <w:t>entia needs feel in control of their lives, feel valued and to also help carers feel satisfaction in charge of the disease what they a</w:t>
      </w:r>
      <w:r w:rsidR="00E668B1" w:rsidRPr="00913267">
        <w:rPr>
          <w:b w:val="0"/>
          <w:lang w:val="en-GB"/>
        </w:rPr>
        <w:t>ccomplish in care</w:t>
      </w:r>
      <w:r>
        <w:rPr>
          <w:b w:val="0"/>
          <w:lang w:val="en-GB"/>
        </w:rPr>
        <w:t>.</w:t>
      </w:r>
    </w:p>
    <w:p w:rsidR="00A919FD" w:rsidRDefault="00A919FD" w:rsidP="00117BFD">
      <w:pPr>
        <w:pStyle w:val="Heading1"/>
        <w:tabs>
          <w:tab w:val="left" w:pos="1601"/>
        </w:tabs>
        <w:spacing w:line="276" w:lineRule="auto"/>
        <w:jc w:val="both"/>
        <w:rPr>
          <w:b w:val="0"/>
          <w:lang w:val="en-GB"/>
        </w:rPr>
      </w:pPr>
    </w:p>
    <w:p w:rsidR="00A919FD" w:rsidRDefault="00A919FD" w:rsidP="00117BFD">
      <w:pPr>
        <w:pStyle w:val="Heading1"/>
        <w:tabs>
          <w:tab w:val="left" w:pos="1601"/>
        </w:tabs>
        <w:spacing w:line="276" w:lineRule="auto"/>
        <w:jc w:val="both"/>
        <w:rPr>
          <w:b w:val="0"/>
          <w:lang w:val="en-GB"/>
        </w:rPr>
      </w:pPr>
      <w:r>
        <w:rPr>
          <w:b w:val="0"/>
          <w:lang w:val="en-GB"/>
        </w:rPr>
        <w:t xml:space="preserve">The strategy will be subject to scrutiny where potential gaps in the pathway may be identified, as they often are when users, carers, friends and family provide personal stories and experiences. </w:t>
      </w:r>
      <w:r w:rsidR="008E123B">
        <w:rPr>
          <w:b w:val="0"/>
          <w:lang w:val="en-GB"/>
        </w:rPr>
        <w:t>Learning from such comments will help to improve diagnostic and post diagnostic health and social care support for dementia.</w:t>
      </w:r>
      <w:r>
        <w:rPr>
          <w:b w:val="0"/>
          <w:lang w:val="en-GB"/>
        </w:rPr>
        <w:t xml:space="preserve"> </w:t>
      </w:r>
    </w:p>
    <w:p w:rsidR="008E123B" w:rsidRDefault="008E123B" w:rsidP="00117BFD">
      <w:pPr>
        <w:pStyle w:val="Heading1"/>
        <w:tabs>
          <w:tab w:val="left" w:pos="1601"/>
        </w:tabs>
        <w:spacing w:line="276" w:lineRule="auto"/>
        <w:jc w:val="both"/>
        <w:rPr>
          <w:b w:val="0"/>
          <w:lang w:val="en-GB"/>
        </w:rPr>
      </w:pPr>
    </w:p>
    <w:p w:rsidR="00817195" w:rsidRDefault="008E123B" w:rsidP="00117BFD">
      <w:pPr>
        <w:pStyle w:val="Heading1"/>
        <w:tabs>
          <w:tab w:val="left" w:pos="1601"/>
        </w:tabs>
        <w:spacing w:line="276" w:lineRule="auto"/>
        <w:jc w:val="both"/>
        <w:rPr>
          <w:b w:val="0"/>
          <w:lang w:val="en-GB"/>
        </w:rPr>
      </w:pPr>
      <w:r>
        <w:rPr>
          <w:b w:val="0"/>
          <w:lang w:val="en-GB"/>
        </w:rPr>
        <w:t xml:space="preserve">The local and national strategic vision is </w:t>
      </w:r>
      <w:r w:rsidR="00817195">
        <w:rPr>
          <w:b w:val="0"/>
          <w:lang w:val="en-GB"/>
        </w:rPr>
        <w:t xml:space="preserve">set out to be achieved in the document. Aligning the action plan to deliver it </w:t>
      </w:r>
      <w:r>
        <w:rPr>
          <w:b w:val="0"/>
          <w:lang w:val="en-GB"/>
        </w:rPr>
        <w:t xml:space="preserve">and </w:t>
      </w:r>
      <w:r w:rsidR="00817195">
        <w:rPr>
          <w:b w:val="0"/>
          <w:lang w:val="en-GB"/>
        </w:rPr>
        <w:t xml:space="preserve">providing the </w:t>
      </w:r>
      <w:r>
        <w:rPr>
          <w:b w:val="0"/>
          <w:lang w:val="en-GB"/>
        </w:rPr>
        <w:t xml:space="preserve">evidenced will be </w:t>
      </w:r>
      <w:r w:rsidR="00817195">
        <w:rPr>
          <w:b w:val="0"/>
          <w:lang w:val="en-GB"/>
        </w:rPr>
        <w:t>achieved</w:t>
      </w:r>
      <w:r>
        <w:rPr>
          <w:b w:val="0"/>
          <w:lang w:val="en-GB"/>
        </w:rPr>
        <w:t xml:space="preserve"> through partnership working between all stakeholders. Health and Social Care</w:t>
      </w:r>
      <w:r w:rsidR="00817195">
        <w:rPr>
          <w:b w:val="0"/>
          <w:lang w:val="en-GB"/>
        </w:rPr>
        <w:t xml:space="preserve"> will take the lead as </w:t>
      </w:r>
      <w:r>
        <w:rPr>
          <w:b w:val="0"/>
          <w:lang w:val="en-GB"/>
        </w:rPr>
        <w:t xml:space="preserve">accountability </w:t>
      </w:r>
      <w:r w:rsidR="00817195">
        <w:rPr>
          <w:b w:val="0"/>
          <w:lang w:val="en-GB"/>
        </w:rPr>
        <w:t>will be monitored through their regulators.</w:t>
      </w:r>
    </w:p>
    <w:p w:rsidR="00817195" w:rsidRDefault="00817195" w:rsidP="00117BFD">
      <w:pPr>
        <w:pStyle w:val="Heading1"/>
        <w:tabs>
          <w:tab w:val="left" w:pos="1601"/>
        </w:tabs>
        <w:spacing w:line="276" w:lineRule="auto"/>
        <w:jc w:val="both"/>
        <w:rPr>
          <w:b w:val="0"/>
          <w:lang w:val="en-GB"/>
        </w:rPr>
      </w:pPr>
    </w:p>
    <w:p w:rsidR="008E123B" w:rsidRPr="00913267" w:rsidRDefault="00817195" w:rsidP="00117BFD">
      <w:pPr>
        <w:pStyle w:val="Heading1"/>
        <w:tabs>
          <w:tab w:val="left" w:pos="1601"/>
        </w:tabs>
        <w:spacing w:line="276" w:lineRule="auto"/>
        <w:jc w:val="both"/>
        <w:rPr>
          <w:b w:val="0"/>
          <w:lang w:val="en-GB"/>
        </w:rPr>
      </w:pPr>
      <w:r>
        <w:rPr>
          <w:b w:val="0"/>
          <w:lang w:val="en-GB"/>
        </w:rPr>
        <w:t xml:space="preserve">Implementation of the plan has started </w:t>
      </w:r>
      <w:r w:rsidR="008E123B">
        <w:rPr>
          <w:b w:val="0"/>
          <w:lang w:val="en-GB"/>
        </w:rPr>
        <w:t xml:space="preserve">and </w:t>
      </w:r>
      <w:r>
        <w:rPr>
          <w:b w:val="0"/>
          <w:lang w:val="en-GB"/>
        </w:rPr>
        <w:t xml:space="preserve">the new NICE guidance </w:t>
      </w:r>
      <w:r w:rsidR="008E123B">
        <w:rPr>
          <w:b w:val="0"/>
          <w:lang w:val="en-GB"/>
        </w:rPr>
        <w:t xml:space="preserve">will </w:t>
      </w:r>
      <w:r>
        <w:rPr>
          <w:b w:val="0"/>
          <w:lang w:val="en-GB"/>
        </w:rPr>
        <w:t xml:space="preserve">provide a measurable framework and toolkit to deliver </w:t>
      </w:r>
      <w:r w:rsidR="00447A74">
        <w:rPr>
          <w:b w:val="0"/>
          <w:lang w:val="en-GB"/>
        </w:rPr>
        <w:t>the best dementia care and support.</w:t>
      </w:r>
      <w:r w:rsidR="008E123B">
        <w:rPr>
          <w:b w:val="0"/>
          <w:lang w:val="en-GB"/>
        </w:rPr>
        <w:t xml:space="preserve"> </w:t>
      </w:r>
    </w:p>
    <w:p w:rsidR="00E668B1" w:rsidRPr="00913267" w:rsidRDefault="00E668B1" w:rsidP="00117BFD">
      <w:pPr>
        <w:pStyle w:val="Heading1"/>
        <w:tabs>
          <w:tab w:val="left" w:pos="1601"/>
        </w:tabs>
        <w:spacing w:line="276" w:lineRule="auto"/>
        <w:jc w:val="both"/>
        <w:rPr>
          <w:b w:val="0"/>
          <w:lang w:val="en-GB"/>
        </w:rPr>
      </w:pPr>
    </w:p>
    <w:p w:rsidR="00E668B1" w:rsidRPr="00913267" w:rsidRDefault="00E668B1" w:rsidP="00117BFD">
      <w:pPr>
        <w:pStyle w:val="Heading1"/>
        <w:tabs>
          <w:tab w:val="left" w:pos="1601"/>
        </w:tabs>
        <w:spacing w:line="276" w:lineRule="auto"/>
        <w:jc w:val="both"/>
        <w:rPr>
          <w:b w:val="0"/>
          <w:lang w:val="en-GB"/>
        </w:rPr>
      </w:pPr>
      <w:r w:rsidRPr="00913267">
        <w:rPr>
          <w:b w:val="0"/>
          <w:lang w:val="en-GB"/>
        </w:rPr>
        <w:t>This strategy supports the national dementia plan</w:t>
      </w:r>
      <w:r w:rsidR="00BF77DA" w:rsidRPr="00913267">
        <w:rPr>
          <w:b w:val="0"/>
          <w:lang w:val="en-GB"/>
        </w:rPr>
        <w:t xml:space="preserve"> and we are committed to improving</w:t>
      </w:r>
      <w:r w:rsidR="008853EA" w:rsidRPr="00913267">
        <w:rPr>
          <w:b w:val="0"/>
          <w:lang w:val="en-GB"/>
        </w:rPr>
        <w:t xml:space="preserve"> dementia</w:t>
      </w:r>
      <w:r w:rsidR="00BF77DA" w:rsidRPr="00913267">
        <w:rPr>
          <w:b w:val="0"/>
          <w:lang w:val="en-GB"/>
        </w:rPr>
        <w:t xml:space="preserve"> care in Harrow</w:t>
      </w:r>
      <w:r w:rsidR="00447A74">
        <w:rPr>
          <w:b w:val="0"/>
          <w:lang w:val="en-GB"/>
        </w:rPr>
        <w:t>.</w:t>
      </w:r>
    </w:p>
    <w:p w:rsidR="00840A76" w:rsidRDefault="00840A76" w:rsidP="00117BFD">
      <w:pPr>
        <w:spacing w:line="276" w:lineRule="auto"/>
        <w:rPr>
          <w:lang w:val="en-GB"/>
        </w:rPr>
      </w:pPr>
    </w:p>
    <w:p w:rsidR="00550974" w:rsidRDefault="00550974" w:rsidP="00550974">
      <w:pPr>
        <w:spacing w:line="276" w:lineRule="auto"/>
        <w:rPr>
          <w:color w:val="FF0000"/>
          <w:sz w:val="24"/>
          <w:szCs w:val="24"/>
          <w:lang w:val="en-GB"/>
        </w:rPr>
      </w:pPr>
    </w:p>
    <w:sectPr w:rsidR="00550974" w:rsidSect="00447A74">
      <w:footerReference w:type="default" r:id="rId19"/>
      <w:pgSz w:w="12240" w:h="15840"/>
      <w:pgMar w:top="1440" w:right="1440" w:bottom="1440" w:left="1440" w:header="0" w:footer="668"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C2" w:rsidRDefault="000725C2">
      <w:r>
        <w:separator/>
      </w:r>
    </w:p>
  </w:endnote>
  <w:endnote w:type="continuationSeparator" w:id="0">
    <w:p w:rsidR="000725C2" w:rsidRDefault="0007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2" w:rsidRDefault="000725C2">
    <w:pPr>
      <w:pStyle w:val="BodyText"/>
      <w:spacing w:line="14" w:lineRule="auto"/>
      <w:rPr>
        <w:sz w:val="20"/>
      </w:rPr>
    </w:pPr>
    <w:r>
      <w:rPr>
        <w:noProof/>
        <w:lang w:val="en-GB" w:eastAsia="en-GB"/>
      </w:rPr>
      <mc:AlternateContent>
        <mc:Choice Requires="wpg">
          <w:drawing>
            <wp:anchor distT="0" distB="0" distL="114300" distR="114300" simplePos="0" relativeHeight="251654656" behindDoc="1" locked="0" layoutInCell="1" allowOverlap="1" wp14:anchorId="6DFC0374" wp14:editId="781D7D50">
              <wp:simplePos x="0" y="0"/>
              <wp:positionH relativeFrom="page">
                <wp:posOffset>1124585</wp:posOffset>
              </wp:positionH>
              <wp:positionV relativeFrom="page">
                <wp:posOffset>9456420</wp:posOffset>
              </wp:positionV>
              <wp:extent cx="5523230" cy="6350"/>
              <wp:effectExtent l="10160" t="7620" r="10160" b="50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1771" y="14892"/>
                        <a:chExt cx="8698" cy="10"/>
                      </a:xfrm>
                    </wpg:grpSpPr>
                    <wps:wsp>
                      <wps:cNvPr id="14" name="Line 12"/>
                      <wps:cNvCnPr/>
                      <wps:spPr bwMode="auto">
                        <a:xfrm>
                          <a:off x="1771" y="14897"/>
                          <a:ext cx="869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6064" y="14892"/>
                          <a:ext cx="11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8.55pt;margin-top:744.6pt;width:434.9pt;height:.5pt;z-index:-61600;mso-position-horizontal-relative:page;mso-position-vertical-relative:page" coordorigin="1771,14892"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">
              <v:line id="Line 12" o:spid="_x0000_s1027" style="position:absolute;visibility:visible;mso-wrap-style:square" from="1771,14897" to="10469,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1" o:spid="_x0000_s1028" style="position:absolute;left:6064;top:14892;width:11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1E5D4FCA" wp14:editId="7CCAB73F">
              <wp:simplePos x="0" y="0"/>
              <wp:positionH relativeFrom="page">
                <wp:posOffset>3825875</wp:posOffset>
              </wp:positionH>
              <wp:positionV relativeFrom="page">
                <wp:posOffset>9507220</wp:posOffset>
              </wp:positionV>
              <wp:extent cx="121285" cy="152400"/>
              <wp:effectExtent l="0" t="127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C2" w:rsidRDefault="000725C2">
                          <w:pPr>
                            <w:spacing w:line="216" w:lineRule="exact"/>
                            <w:ind w:left="40"/>
                            <w:rPr>
                              <w:sz w:val="20"/>
                            </w:rPr>
                          </w:pPr>
                          <w:r>
                            <w:fldChar w:fldCharType="begin"/>
                          </w:r>
                          <w:r>
                            <w:rPr>
                              <w:w w:val="99"/>
                              <w:sz w:val="20"/>
                            </w:rPr>
                            <w:instrText xml:space="preserve"> PAGE </w:instrText>
                          </w:r>
                          <w:r>
                            <w:fldChar w:fldCharType="separate"/>
                          </w:r>
                          <w:r w:rsidR="00C87EA6">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1.25pt;margin-top:748.6pt;width:9.5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e2rA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" filled="f" stroked="f">
              <v:textbox inset="0,0,0,0">
                <w:txbxContent>
                  <w:p w:rsidR="000725C2" w:rsidRDefault="000725C2">
                    <w:pPr>
                      <w:spacing w:line="216" w:lineRule="exact"/>
                      <w:ind w:left="40"/>
                      <w:rPr>
                        <w:sz w:val="20"/>
                      </w:rPr>
                    </w:pPr>
                    <w:r>
                      <w:fldChar w:fldCharType="begin"/>
                    </w:r>
                    <w:r>
                      <w:rPr>
                        <w:w w:val="99"/>
                        <w:sz w:val="20"/>
                      </w:rPr>
                      <w:instrText xml:space="preserve"> PAGE </w:instrText>
                    </w:r>
                    <w:r>
                      <w:fldChar w:fldCharType="separate"/>
                    </w:r>
                    <w:r w:rsidR="00C87EA6">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2" w:rsidRDefault="000725C2">
    <w:pPr>
      <w:pStyle w:val="BodyText"/>
      <w:spacing w:line="14" w:lineRule="auto"/>
      <w:rPr>
        <w:sz w:val="20"/>
      </w:rPr>
    </w:pPr>
    <w:r>
      <w:rPr>
        <w:noProof/>
        <w:lang w:val="en-GB" w:eastAsia="en-GB"/>
      </w:rPr>
      <mc:AlternateContent>
        <mc:Choice Requires="wps">
          <w:drawing>
            <wp:anchor distT="0" distB="0" distL="114300" distR="114300" simplePos="0" relativeHeight="251658752" behindDoc="1" locked="0" layoutInCell="1" allowOverlap="1" wp14:anchorId="0E5F08C4" wp14:editId="6EDFF8E1">
              <wp:simplePos x="0" y="0"/>
              <wp:positionH relativeFrom="page">
                <wp:posOffset>1123315</wp:posOffset>
              </wp:positionH>
              <wp:positionV relativeFrom="page">
                <wp:posOffset>9459595</wp:posOffset>
              </wp:positionV>
              <wp:extent cx="5527675" cy="1270"/>
              <wp:effectExtent l="8890" t="10795" r="698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675" cy="1270"/>
                      </a:xfrm>
                      <a:custGeom>
                        <a:avLst/>
                        <a:gdLst>
                          <a:gd name="T0" fmla="+- 0 1769 1769"/>
                          <a:gd name="T1" fmla="*/ T0 w 8705"/>
                          <a:gd name="T2" fmla="+- 0 10474 1769"/>
                          <a:gd name="T3" fmla="*/ T2 w 8705"/>
                          <a:gd name="T4" fmla="+- 0 6010 1769"/>
                          <a:gd name="T5" fmla="*/ T4 w 8705"/>
                          <a:gd name="T6" fmla="+- 0 6233 1769"/>
                          <a:gd name="T7" fmla="*/ T6 w 8705"/>
                        </a:gdLst>
                        <a:ahLst/>
                        <a:cxnLst>
                          <a:cxn ang="0">
                            <a:pos x="T1" y="0"/>
                          </a:cxn>
                          <a:cxn ang="0">
                            <a:pos x="T3" y="0"/>
                          </a:cxn>
                          <a:cxn ang="0">
                            <a:pos x="T5" y="0"/>
                          </a:cxn>
                          <a:cxn ang="0">
                            <a:pos x="T7" y="0"/>
                          </a:cxn>
                        </a:cxnLst>
                        <a:rect l="0" t="0" r="r" b="b"/>
                        <a:pathLst>
                          <a:path w="8705">
                            <a:moveTo>
                              <a:pt x="0" y="0"/>
                            </a:moveTo>
                            <a:lnTo>
                              <a:pt x="8705" y="0"/>
                            </a:lnTo>
                            <a:moveTo>
                              <a:pt x="4241" y="0"/>
                            </a:moveTo>
                            <a:lnTo>
                              <a:pt x="4464"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8.45pt;margin-top:744.85pt;width:435.25pt;height:.1pt;z-index:-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" path="m,l8705,m4241,r223,e" filled="f" strokeweight=".16917mm">
              <v:path arrowok="t" o:connecttype="custom" o:connectlocs="0,0;5527675,0;2693035,0;2834640,0" o:connectangles="0,0,0,0"/>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215BB9FD" wp14:editId="56FAE81D">
              <wp:simplePos x="0" y="0"/>
              <wp:positionH relativeFrom="page">
                <wp:posOffset>3790950</wp:posOffset>
              </wp:positionH>
              <wp:positionV relativeFrom="page">
                <wp:posOffset>9507220</wp:posOffset>
              </wp:positionV>
              <wp:extent cx="191770" cy="1524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C2" w:rsidRDefault="000725C2">
                          <w:pPr>
                            <w:spacing w:line="216" w:lineRule="exact"/>
                            <w:ind w:left="40"/>
                            <w:rPr>
                              <w:sz w:val="20"/>
                            </w:rPr>
                          </w:pPr>
                          <w:r>
                            <w:fldChar w:fldCharType="begin"/>
                          </w:r>
                          <w:r>
                            <w:rPr>
                              <w:sz w:val="20"/>
                            </w:rPr>
                            <w:instrText xml:space="preserve"> PAGE </w:instrText>
                          </w:r>
                          <w:r>
                            <w:fldChar w:fldCharType="separate"/>
                          </w:r>
                          <w:r w:rsidR="00C87EA6">
                            <w:rPr>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5pt;margin-top:748.6pt;width:15.1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UM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" filled="f" stroked="f">
              <v:textbox inset="0,0,0,0">
                <w:txbxContent>
                  <w:p w:rsidR="000725C2" w:rsidRDefault="000725C2">
                    <w:pPr>
                      <w:spacing w:line="216" w:lineRule="exact"/>
                      <w:ind w:left="40"/>
                      <w:rPr>
                        <w:sz w:val="20"/>
                      </w:rPr>
                    </w:pPr>
                    <w:r>
                      <w:fldChar w:fldCharType="begin"/>
                    </w:r>
                    <w:r>
                      <w:rPr>
                        <w:sz w:val="20"/>
                      </w:rPr>
                      <w:instrText xml:space="preserve"> PAGE </w:instrText>
                    </w:r>
                    <w:r>
                      <w:fldChar w:fldCharType="separate"/>
                    </w:r>
                    <w:r w:rsidR="00C87EA6">
                      <w:rPr>
                        <w:noProof/>
                        <w:sz w:val="20"/>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C2" w:rsidRDefault="000725C2">
      <w:r>
        <w:separator/>
      </w:r>
    </w:p>
  </w:footnote>
  <w:footnote w:type="continuationSeparator" w:id="0">
    <w:p w:rsidR="000725C2" w:rsidRDefault="0007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2" w:rsidRDefault="00072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3AF"/>
    <w:multiLevelType w:val="multilevel"/>
    <w:tmpl w:val="B6205DFE"/>
    <w:lvl w:ilvl="0">
      <w:start w:val="5"/>
      <w:numFmt w:val="decimal"/>
      <w:lvlText w:val="%1"/>
      <w:lvlJc w:val="left"/>
      <w:pPr>
        <w:ind w:left="690" w:hanging="471"/>
      </w:pPr>
      <w:rPr>
        <w:rFonts w:hint="default"/>
      </w:rPr>
    </w:lvl>
    <w:lvl w:ilvl="1">
      <w:start w:val="2"/>
      <w:numFmt w:val="decimal"/>
      <w:lvlText w:val="%1.%2."/>
      <w:lvlJc w:val="left"/>
      <w:pPr>
        <w:ind w:left="755" w:hanging="471"/>
      </w:pPr>
      <w:rPr>
        <w:rFonts w:ascii="Arial" w:eastAsia="Arial" w:hAnsi="Arial" w:cs="Arial" w:hint="default"/>
        <w:b/>
        <w:bCs/>
        <w:w w:val="99"/>
        <w:sz w:val="24"/>
        <w:szCs w:val="24"/>
      </w:rPr>
    </w:lvl>
    <w:lvl w:ilvl="2">
      <w:start w:val="1"/>
      <w:numFmt w:val="decimal"/>
      <w:lvlText w:val="%3."/>
      <w:lvlJc w:val="left"/>
      <w:pPr>
        <w:ind w:left="939" w:hanging="360"/>
      </w:pPr>
      <w:rPr>
        <w:rFonts w:ascii="Arial" w:eastAsia="Arial" w:hAnsi="Arial" w:cs="Arial" w:hint="default"/>
        <w:spacing w:val="-2"/>
        <w:w w:val="99"/>
        <w:sz w:val="24"/>
        <w:szCs w:val="24"/>
      </w:rPr>
    </w:lvl>
    <w:lvl w:ilvl="3">
      <w:numFmt w:val="bullet"/>
      <w:lvlText w:val="•"/>
      <w:lvlJc w:val="left"/>
      <w:pPr>
        <w:ind w:left="940" w:hanging="360"/>
      </w:pPr>
      <w:rPr>
        <w:rFonts w:hint="default"/>
      </w:rPr>
    </w:lvl>
    <w:lvl w:ilvl="4">
      <w:numFmt w:val="bullet"/>
      <w:lvlText w:val="•"/>
      <w:lvlJc w:val="left"/>
      <w:pPr>
        <w:ind w:left="2200" w:hanging="360"/>
      </w:pPr>
      <w:rPr>
        <w:rFonts w:hint="default"/>
      </w:rPr>
    </w:lvl>
    <w:lvl w:ilvl="5">
      <w:numFmt w:val="bullet"/>
      <w:lvlText w:val="•"/>
      <w:lvlJc w:val="left"/>
      <w:pPr>
        <w:ind w:left="3460" w:hanging="360"/>
      </w:pPr>
      <w:rPr>
        <w:rFonts w:hint="default"/>
      </w:rPr>
    </w:lvl>
    <w:lvl w:ilvl="6">
      <w:numFmt w:val="bullet"/>
      <w:lvlText w:val="•"/>
      <w:lvlJc w:val="left"/>
      <w:pPr>
        <w:ind w:left="4720" w:hanging="360"/>
      </w:pPr>
      <w:rPr>
        <w:rFonts w:hint="default"/>
      </w:rPr>
    </w:lvl>
    <w:lvl w:ilvl="7">
      <w:numFmt w:val="bullet"/>
      <w:lvlText w:val="•"/>
      <w:lvlJc w:val="left"/>
      <w:pPr>
        <w:ind w:left="5980" w:hanging="360"/>
      </w:pPr>
      <w:rPr>
        <w:rFonts w:hint="default"/>
      </w:rPr>
    </w:lvl>
    <w:lvl w:ilvl="8">
      <w:numFmt w:val="bullet"/>
      <w:lvlText w:val="•"/>
      <w:lvlJc w:val="left"/>
      <w:pPr>
        <w:ind w:left="7240" w:hanging="360"/>
      </w:pPr>
      <w:rPr>
        <w:rFonts w:hint="default"/>
      </w:rPr>
    </w:lvl>
  </w:abstractNum>
  <w:abstractNum w:abstractNumId="1">
    <w:nsid w:val="0554203C"/>
    <w:multiLevelType w:val="hybridMultilevel"/>
    <w:tmpl w:val="8648F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F1E0C"/>
    <w:multiLevelType w:val="hybridMultilevel"/>
    <w:tmpl w:val="CF663520"/>
    <w:lvl w:ilvl="0" w:tplc="8CFE80DC">
      <w:numFmt w:val="bullet"/>
      <w:lvlText w:val=""/>
      <w:lvlJc w:val="left"/>
      <w:pPr>
        <w:ind w:left="863" w:hanging="360"/>
      </w:pPr>
      <w:rPr>
        <w:rFonts w:hint="default"/>
        <w:w w:val="100"/>
      </w:rPr>
    </w:lvl>
    <w:lvl w:ilvl="1" w:tplc="083A1D86">
      <w:numFmt w:val="bullet"/>
      <w:lvlText w:val="•"/>
      <w:lvlJc w:val="left"/>
      <w:pPr>
        <w:ind w:left="1637" w:hanging="360"/>
      </w:pPr>
      <w:rPr>
        <w:rFonts w:hint="default"/>
      </w:rPr>
    </w:lvl>
    <w:lvl w:ilvl="2" w:tplc="E7985E14">
      <w:numFmt w:val="bullet"/>
      <w:lvlText w:val="•"/>
      <w:lvlJc w:val="left"/>
      <w:pPr>
        <w:ind w:left="2415" w:hanging="360"/>
      </w:pPr>
      <w:rPr>
        <w:rFonts w:hint="default"/>
      </w:rPr>
    </w:lvl>
    <w:lvl w:ilvl="3" w:tplc="C2223B78">
      <w:numFmt w:val="bullet"/>
      <w:lvlText w:val="•"/>
      <w:lvlJc w:val="left"/>
      <w:pPr>
        <w:ind w:left="3193" w:hanging="360"/>
      </w:pPr>
      <w:rPr>
        <w:rFonts w:hint="default"/>
      </w:rPr>
    </w:lvl>
    <w:lvl w:ilvl="4" w:tplc="B668682E">
      <w:numFmt w:val="bullet"/>
      <w:lvlText w:val="•"/>
      <w:lvlJc w:val="left"/>
      <w:pPr>
        <w:ind w:left="3971" w:hanging="360"/>
      </w:pPr>
      <w:rPr>
        <w:rFonts w:hint="default"/>
      </w:rPr>
    </w:lvl>
    <w:lvl w:ilvl="5" w:tplc="2E0CFA0E">
      <w:numFmt w:val="bullet"/>
      <w:lvlText w:val="•"/>
      <w:lvlJc w:val="left"/>
      <w:pPr>
        <w:ind w:left="4749" w:hanging="360"/>
      </w:pPr>
      <w:rPr>
        <w:rFonts w:hint="default"/>
      </w:rPr>
    </w:lvl>
    <w:lvl w:ilvl="6" w:tplc="85186F1E">
      <w:numFmt w:val="bullet"/>
      <w:lvlText w:val="•"/>
      <w:lvlJc w:val="left"/>
      <w:pPr>
        <w:ind w:left="5527" w:hanging="360"/>
      </w:pPr>
      <w:rPr>
        <w:rFonts w:hint="default"/>
      </w:rPr>
    </w:lvl>
    <w:lvl w:ilvl="7" w:tplc="58A4F718">
      <w:numFmt w:val="bullet"/>
      <w:lvlText w:val="•"/>
      <w:lvlJc w:val="left"/>
      <w:pPr>
        <w:ind w:left="6305" w:hanging="360"/>
      </w:pPr>
      <w:rPr>
        <w:rFonts w:hint="default"/>
      </w:rPr>
    </w:lvl>
    <w:lvl w:ilvl="8" w:tplc="DB54DA22">
      <w:numFmt w:val="bullet"/>
      <w:lvlText w:val="•"/>
      <w:lvlJc w:val="left"/>
      <w:pPr>
        <w:ind w:left="7083" w:hanging="360"/>
      </w:pPr>
      <w:rPr>
        <w:rFonts w:hint="default"/>
      </w:rPr>
    </w:lvl>
  </w:abstractNum>
  <w:abstractNum w:abstractNumId="3">
    <w:nsid w:val="0CFE2769"/>
    <w:multiLevelType w:val="hybridMultilevel"/>
    <w:tmpl w:val="436E4BBE"/>
    <w:lvl w:ilvl="0" w:tplc="226AB13E">
      <w:numFmt w:val="bullet"/>
      <w:lvlText w:val="▪"/>
      <w:lvlJc w:val="left"/>
      <w:pPr>
        <w:ind w:left="422" w:hanging="360"/>
      </w:pPr>
      <w:rPr>
        <w:rFonts w:hint="default"/>
        <w:w w:val="128"/>
      </w:rPr>
    </w:lvl>
    <w:lvl w:ilvl="1" w:tplc="40186D6E">
      <w:numFmt w:val="bullet"/>
      <w:lvlText w:val="•"/>
      <w:lvlJc w:val="left"/>
      <w:pPr>
        <w:ind w:left="681" w:hanging="360"/>
      </w:pPr>
      <w:rPr>
        <w:rFonts w:hint="default"/>
      </w:rPr>
    </w:lvl>
    <w:lvl w:ilvl="2" w:tplc="B0CCF35A">
      <w:numFmt w:val="bullet"/>
      <w:lvlText w:val="•"/>
      <w:lvlJc w:val="left"/>
      <w:pPr>
        <w:ind w:left="942" w:hanging="360"/>
      </w:pPr>
      <w:rPr>
        <w:rFonts w:hint="default"/>
      </w:rPr>
    </w:lvl>
    <w:lvl w:ilvl="3" w:tplc="596AA190">
      <w:numFmt w:val="bullet"/>
      <w:lvlText w:val="•"/>
      <w:lvlJc w:val="left"/>
      <w:pPr>
        <w:ind w:left="1203" w:hanging="360"/>
      </w:pPr>
      <w:rPr>
        <w:rFonts w:hint="default"/>
      </w:rPr>
    </w:lvl>
    <w:lvl w:ilvl="4" w:tplc="C3262EF2">
      <w:numFmt w:val="bullet"/>
      <w:lvlText w:val="•"/>
      <w:lvlJc w:val="left"/>
      <w:pPr>
        <w:ind w:left="1464" w:hanging="360"/>
      </w:pPr>
      <w:rPr>
        <w:rFonts w:hint="default"/>
      </w:rPr>
    </w:lvl>
    <w:lvl w:ilvl="5" w:tplc="7556D810">
      <w:numFmt w:val="bullet"/>
      <w:lvlText w:val="•"/>
      <w:lvlJc w:val="left"/>
      <w:pPr>
        <w:ind w:left="1726" w:hanging="360"/>
      </w:pPr>
      <w:rPr>
        <w:rFonts w:hint="default"/>
      </w:rPr>
    </w:lvl>
    <w:lvl w:ilvl="6" w:tplc="7AF0C6CE">
      <w:numFmt w:val="bullet"/>
      <w:lvlText w:val="•"/>
      <w:lvlJc w:val="left"/>
      <w:pPr>
        <w:ind w:left="1987" w:hanging="360"/>
      </w:pPr>
      <w:rPr>
        <w:rFonts w:hint="default"/>
      </w:rPr>
    </w:lvl>
    <w:lvl w:ilvl="7" w:tplc="4A3C4F44">
      <w:numFmt w:val="bullet"/>
      <w:lvlText w:val="•"/>
      <w:lvlJc w:val="left"/>
      <w:pPr>
        <w:ind w:left="2248" w:hanging="360"/>
      </w:pPr>
      <w:rPr>
        <w:rFonts w:hint="default"/>
      </w:rPr>
    </w:lvl>
    <w:lvl w:ilvl="8" w:tplc="6798BEF4">
      <w:numFmt w:val="bullet"/>
      <w:lvlText w:val="•"/>
      <w:lvlJc w:val="left"/>
      <w:pPr>
        <w:ind w:left="2509" w:hanging="360"/>
      </w:pPr>
      <w:rPr>
        <w:rFonts w:hint="default"/>
      </w:rPr>
    </w:lvl>
  </w:abstractNum>
  <w:abstractNum w:abstractNumId="4">
    <w:nsid w:val="10F2353F"/>
    <w:multiLevelType w:val="hybridMultilevel"/>
    <w:tmpl w:val="129E8344"/>
    <w:lvl w:ilvl="0" w:tplc="2776575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1428796F"/>
    <w:multiLevelType w:val="hybridMultilevel"/>
    <w:tmpl w:val="D136A076"/>
    <w:lvl w:ilvl="0" w:tplc="74B81062">
      <w:numFmt w:val="bullet"/>
      <w:lvlText w:val="•"/>
      <w:lvlJc w:val="left"/>
      <w:pPr>
        <w:ind w:left="1377" w:hanging="197"/>
      </w:pPr>
      <w:rPr>
        <w:rFonts w:ascii="Arial" w:eastAsia="Arial" w:hAnsi="Arial" w:cs="Arial" w:hint="default"/>
        <w:w w:val="99"/>
        <w:sz w:val="24"/>
        <w:szCs w:val="24"/>
      </w:rPr>
    </w:lvl>
    <w:lvl w:ilvl="1" w:tplc="F3583BDE">
      <w:numFmt w:val="bullet"/>
      <w:lvlText w:val="•"/>
      <w:lvlJc w:val="left"/>
      <w:pPr>
        <w:ind w:left="2376" w:hanging="197"/>
      </w:pPr>
      <w:rPr>
        <w:rFonts w:hint="default"/>
      </w:rPr>
    </w:lvl>
    <w:lvl w:ilvl="2" w:tplc="1D58FF2E">
      <w:numFmt w:val="bullet"/>
      <w:lvlText w:val="•"/>
      <w:lvlJc w:val="left"/>
      <w:pPr>
        <w:ind w:left="3372" w:hanging="197"/>
      </w:pPr>
      <w:rPr>
        <w:rFonts w:hint="default"/>
      </w:rPr>
    </w:lvl>
    <w:lvl w:ilvl="3" w:tplc="4628FC42">
      <w:numFmt w:val="bullet"/>
      <w:lvlText w:val="•"/>
      <w:lvlJc w:val="left"/>
      <w:pPr>
        <w:ind w:left="4368" w:hanging="197"/>
      </w:pPr>
      <w:rPr>
        <w:rFonts w:hint="default"/>
      </w:rPr>
    </w:lvl>
    <w:lvl w:ilvl="4" w:tplc="08060772">
      <w:numFmt w:val="bullet"/>
      <w:lvlText w:val="•"/>
      <w:lvlJc w:val="left"/>
      <w:pPr>
        <w:ind w:left="5364" w:hanging="197"/>
      </w:pPr>
      <w:rPr>
        <w:rFonts w:hint="default"/>
      </w:rPr>
    </w:lvl>
    <w:lvl w:ilvl="5" w:tplc="05921082">
      <w:numFmt w:val="bullet"/>
      <w:lvlText w:val="•"/>
      <w:lvlJc w:val="left"/>
      <w:pPr>
        <w:ind w:left="6360" w:hanging="197"/>
      </w:pPr>
      <w:rPr>
        <w:rFonts w:hint="default"/>
      </w:rPr>
    </w:lvl>
    <w:lvl w:ilvl="6" w:tplc="B3F41AEE">
      <w:numFmt w:val="bullet"/>
      <w:lvlText w:val="•"/>
      <w:lvlJc w:val="left"/>
      <w:pPr>
        <w:ind w:left="7356" w:hanging="197"/>
      </w:pPr>
      <w:rPr>
        <w:rFonts w:hint="default"/>
      </w:rPr>
    </w:lvl>
    <w:lvl w:ilvl="7" w:tplc="96F6DEA2">
      <w:numFmt w:val="bullet"/>
      <w:lvlText w:val="•"/>
      <w:lvlJc w:val="left"/>
      <w:pPr>
        <w:ind w:left="8352" w:hanging="197"/>
      </w:pPr>
      <w:rPr>
        <w:rFonts w:hint="default"/>
      </w:rPr>
    </w:lvl>
    <w:lvl w:ilvl="8" w:tplc="98F0994C">
      <w:numFmt w:val="bullet"/>
      <w:lvlText w:val="•"/>
      <w:lvlJc w:val="left"/>
      <w:pPr>
        <w:ind w:left="9348" w:hanging="197"/>
      </w:pPr>
      <w:rPr>
        <w:rFonts w:hint="default"/>
      </w:rPr>
    </w:lvl>
  </w:abstractNum>
  <w:abstractNum w:abstractNumId="6">
    <w:nsid w:val="1530012B"/>
    <w:multiLevelType w:val="multilevel"/>
    <w:tmpl w:val="2DCEAC00"/>
    <w:lvl w:ilvl="0">
      <w:start w:val="5"/>
      <w:numFmt w:val="decimal"/>
      <w:lvlText w:val="%1."/>
      <w:lvlJc w:val="left"/>
      <w:pPr>
        <w:ind w:left="488" w:hanging="269"/>
        <w:jc w:val="right"/>
      </w:pPr>
      <w:rPr>
        <w:rFonts w:hint="default"/>
        <w:b/>
        <w:bCs/>
        <w:color w:val="FF0000"/>
        <w:w w:val="99"/>
      </w:rPr>
    </w:lvl>
    <w:lvl w:ilvl="1">
      <w:start w:val="1"/>
      <w:numFmt w:val="decimal"/>
      <w:lvlText w:val="%1.%2"/>
      <w:lvlJc w:val="left"/>
      <w:pPr>
        <w:ind w:left="623" w:hanging="404"/>
      </w:pPr>
      <w:rPr>
        <w:rFonts w:ascii="Arial" w:eastAsia="Arial" w:hAnsi="Arial" w:cs="Arial" w:hint="default"/>
        <w:b/>
        <w:bCs/>
        <w:i w:val="0"/>
        <w:w w:val="99"/>
        <w:sz w:val="24"/>
        <w:szCs w:val="24"/>
      </w:rPr>
    </w:lvl>
    <w:lvl w:ilvl="2">
      <w:numFmt w:val="bullet"/>
      <w:lvlText w:val=""/>
      <w:lvlJc w:val="left"/>
      <w:pPr>
        <w:ind w:left="939" w:hanging="360"/>
      </w:pPr>
      <w:rPr>
        <w:rFonts w:ascii="Symbol" w:eastAsia="Symbol" w:hAnsi="Symbol" w:cs="Symbol" w:hint="default"/>
        <w:w w:val="100"/>
        <w:sz w:val="24"/>
        <w:szCs w:val="24"/>
      </w:rPr>
    </w:lvl>
    <w:lvl w:ilvl="3">
      <w:numFmt w:val="bullet"/>
      <w:lvlText w:val="•"/>
      <w:lvlJc w:val="left"/>
      <w:pPr>
        <w:ind w:left="2042" w:hanging="360"/>
      </w:pPr>
      <w:rPr>
        <w:rFonts w:hint="default"/>
      </w:rPr>
    </w:lvl>
    <w:lvl w:ilvl="4">
      <w:numFmt w:val="bullet"/>
      <w:lvlText w:val="•"/>
      <w:lvlJc w:val="left"/>
      <w:pPr>
        <w:ind w:left="3145" w:hanging="360"/>
      </w:pPr>
      <w:rPr>
        <w:rFonts w:hint="default"/>
      </w:rPr>
    </w:lvl>
    <w:lvl w:ilvl="5">
      <w:numFmt w:val="bullet"/>
      <w:lvlText w:val="•"/>
      <w:lvlJc w:val="left"/>
      <w:pPr>
        <w:ind w:left="4247" w:hanging="360"/>
      </w:pPr>
      <w:rPr>
        <w:rFonts w:hint="default"/>
      </w:rPr>
    </w:lvl>
    <w:lvl w:ilvl="6">
      <w:numFmt w:val="bullet"/>
      <w:lvlText w:val="•"/>
      <w:lvlJc w:val="left"/>
      <w:pPr>
        <w:ind w:left="5350" w:hanging="360"/>
      </w:pPr>
      <w:rPr>
        <w:rFonts w:hint="default"/>
      </w:rPr>
    </w:lvl>
    <w:lvl w:ilvl="7">
      <w:numFmt w:val="bullet"/>
      <w:lvlText w:val="•"/>
      <w:lvlJc w:val="left"/>
      <w:pPr>
        <w:ind w:left="6452" w:hanging="360"/>
      </w:pPr>
      <w:rPr>
        <w:rFonts w:hint="default"/>
      </w:rPr>
    </w:lvl>
    <w:lvl w:ilvl="8">
      <w:numFmt w:val="bullet"/>
      <w:lvlText w:val="•"/>
      <w:lvlJc w:val="left"/>
      <w:pPr>
        <w:ind w:left="7555" w:hanging="360"/>
      </w:pPr>
      <w:rPr>
        <w:rFonts w:hint="default"/>
      </w:rPr>
    </w:lvl>
  </w:abstractNum>
  <w:abstractNum w:abstractNumId="7">
    <w:nsid w:val="18FF1BA9"/>
    <w:multiLevelType w:val="hybridMultilevel"/>
    <w:tmpl w:val="CDDE6BF0"/>
    <w:lvl w:ilvl="0" w:tplc="74D6D916">
      <w:start w:val="1"/>
      <w:numFmt w:val="decimal"/>
      <w:lvlText w:val="%1."/>
      <w:lvlJc w:val="left"/>
      <w:pPr>
        <w:ind w:left="1466" w:hanging="267"/>
      </w:pPr>
      <w:rPr>
        <w:rFonts w:ascii="Arial" w:eastAsia="Arial" w:hAnsi="Arial" w:cs="Arial" w:hint="default"/>
        <w:spacing w:val="-2"/>
        <w:w w:val="99"/>
        <w:sz w:val="24"/>
        <w:szCs w:val="24"/>
      </w:rPr>
    </w:lvl>
    <w:lvl w:ilvl="1" w:tplc="9B10408E">
      <w:numFmt w:val="bullet"/>
      <w:lvlText w:val="•"/>
      <w:lvlJc w:val="left"/>
      <w:pPr>
        <w:ind w:left="2448" w:hanging="267"/>
      </w:pPr>
      <w:rPr>
        <w:rFonts w:hint="default"/>
      </w:rPr>
    </w:lvl>
    <w:lvl w:ilvl="2" w:tplc="D2F6ABFE">
      <w:numFmt w:val="bullet"/>
      <w:lvlText w:val="•"/>
      <w:lvlJc w:val="left"/>
      <w:pPr>
        <w:ind w:left="3436" w:hanging="267"/>
      </w:pPr>
      <w:rPr>
        <w:rFonts w:hint="default"/>
      </w:rPr>
    </w:lvl>
    <w:lvl w:ilvl="3" w:tplc="A5844A6C">
      <w:numFmt w:val="bullet"/>
      <w:lvlText w:val="•"/>
      <w:lvlJc w:val="left"/>
      <w:pPr>
        <w:ind w:left="4424" w:hanging="267"/>
      </w:pPr>
      <w:rPr>
        <w:rFonts w:hint="default"/>
      </w:rPr>
    </w:lvl>
    <w:lvl w:ilvl="4" w:tplc="81B68236">
      <w:numFmt w:val="bullet"/>
      <w:lvlText w:val="•"/>
      <w:lvlJc w:val="left"/>
      <w:pPr>
        <w:ind w:left="5412" w:hanging="267"/>
      </w:pPr>
      <w:rPr>
        <w:rFonts w:hint="default"/>
      </w:rPr>
    </w:lvl>
    <w:lvl w:ilvl="5" w:tplc="F5509BBA">
      <w:numFmt w:val="bullet"/>
      <w:lvlText w:val="•"/>
      <w:lvlJc w:val="left"/>
      <w:pPr>
        <w:ind w:left="6400" w:hanging="267"/>
      </w:pPr>
      <w:rPr>
        <w:rFonts w:hint="default"/>
      </w:rPr>
    </w:lvl>
    <w:lvl w:ilvl="6" w:tplc="BC92B6E6">
      <w:numFmt w:val="bullet"/>
      <w:lvlText w:val="•"/>
      <w:lvlJc w:val="left"/>
      <w:pPr>
        <w:ind w:left="7388" w:hanging="267"/>
      </w:pPr>
      <w:rPr>
        <w:rFonts w:hint="default"/>
      </w:rPr>
    </w:lvl>
    <w:lvl w:ilvl="7" w:tplc="2FCCF53C">
      <w:numFmt w:val="bullet"/>
      <w:lvlText w:val="•"/>
      <w:lvlJc w:val="left"/>
      <w:pPr>
        <w:ind w:left="8376" w:hanging="267"/>
      </w:pPr>
      <w:rPr>
        <w:rFonts w:hint="default"/>
      </w:rPr>
    </w:lvl>
    <w:lvl w:ilvl="8" w:tplc="B8CC11C6">
      <w:numFmt w:val="bullet"/>
      <w:lvlText w:val="•"/>
      <w:lvlJc w:val="left"/>
      <w:pPr>
        <w:ind w:left="9364" w:hanging="267"/>
      </w:pPr>
      <w:rPr>
        <w:rFonts w:hint="default"/>
      </w:rPr>
    </w:lvl>
  </w:abstractNum>
  <w:abstractNum w:abstractNumId="8">
    <w:nsid w:val="1B4C708F"/>
    <w:multiLevelType w:val="hybridMultilevel"/>
    <w:tmpl w:val="1350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B6BBC"/>
    <w:multiLevelType w:val="hybridMultilevel"/>
    <w:tmpl w:val="9A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8574F"/>
    <w:multiLevelType w:val="hybridMultilevel"/>
    <w:tmpl w:val="F21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E1BE9"/>
    <w:multiLevelType w:val="hybridMultilevel"/>
    <w:tmpl w:val="EEAA738A"/>
    <w:lvl w:ilvl="0" w:tplc="08090001">
      <w:start w:val="1"/>
      <w:numFmt w:val="bullet"/>
      <w:lvlText w:val=""/>
      <w:lvlJc w:val="left"/>
      <w:pPr>
        <w:ind w:left="1518" w:hanging="360"/>
      </w:pPr>
      <w:rPr>
        <w:rFonts w:ascii="Symbol" w:hAnsi="Symbol" w:hint="default"/>
        <w:w w:val="99"/>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2">
    <w:nsid w:val="224B5252"/>
    <w:multiLevelType w:val="hybridMultilevel"/>
    <w:tmpl w:val="5394E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3DD160F"/>
    <w:multiLevelType w:val="hybridMultilevel"/>
    <w:tmpl w:val="05B4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B056F"/>
    <w:multiLevelType w:val="hybridMultilevel"/>
    <w:tmpl w:val="68284A4E"/>
    <w:lvl w:ilvl="0" w:tplc="3AD686A6">
      <w:start w:val="6"/>
      <w:numFmt w:val="bullet"/>
      <w:lvlText w:val="-"/>
      <w:lvlJc w:val="left"/>
      <w:pPr>
        <w:ind w:left="1080" w:hanging="360"/>
      </w:pPr>
      <w:rPr>
        <w:rFonts w:ascii="Arial" w:eastAsia="Calibri"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6177FED"/>
    <w:multiLevelType w:val="hybridMultilevel"/>
    <w:tmpl w:val="FF5A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B1C84"/>
    <w:multiLevelType w:val="hybridMultilevel"/>
    <w:tmpl w:val="40348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772EC2"/>
    <w:multiLevelType w:val="hybridMultilevel"/>
    <w:tmpl w:val="0C8A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185348"/>
    <w:multiLevelType w:val="multilevel"/>
    <w:tmpl w:val="EC446BC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296F68"/>
    <w:multiLevelType w:val="hybridMultilevel"/>
    <w:tmpl w:val="D956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E87ABD"/>
    <w:multiLevelType w:val="hybridMultilevel"/>
    <w:tmpl w:val="E3C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0C4773"/>
    <w:multiLevelType w:val="hybridMultilevel"/>
    <w:tmpl w:val="968AA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A8710ED"/>
    <w:multiLevelType w:val="hybridMultilevel"/>
    <w:tmpl w:val="25B03B0A"/>
    <w:lvl w:ilvl="0" w:tplc="452C24C4">
      <w:start w:val="1"/>
      <w:numFmt w:val="decimal"/>
      <w:lvlText w:val="%1."/>
      <w:lvlJc w:val="left"/>
      <w:pPr>
        <w:ind w:left="269" w:hanging="269"/>
      </w:pPr>
      <w:rPr>
        <w:rFonts w:ascii="Arial" w:eastAsia="Arial" w:hAnsi="Arial" w:cs="Arial" w:hint="default"/>
        <w:b/>
        <w:bCs/>
        <w:w w:val="99"/>
        <w:sz w:val="24"/>
        <w:szCs w:val="24"/>
      </w:rPr>
    </w:lvl>
    <w:lvl w:ilvl="1" w:tplc="D6645F62">
      <w:numFmt w:val="bullet"/>
      <w:lvlText w:val="•"/>
      <w:lvlJc w:val="left"/>
      <w:pPr>
        <w:ind w:left="1615" w:hanging="269"/>
      </w:pPr>
      <w:rPr>
        <w:rFonts w:hint="default"/>
      </w:rPr>
    </w:lvl>
    <w:lvl w:ilvl="2" w:tplc="B72C96C0">
      <w:numFmt w:val="bullet"/>
      <w:lvlText w:val="•"/>
      <w:lvlJc w:val="left"/>
      <w:pPr>
        <w:ind w:left="2543" w:hanging="269"/>
      </w:pPr>
      <w:rPr>
        <w:rFonts w:hint="default"/>
      </w:rPr>
    </w:lvl>
    <w:lvl w:ilvl="3" w:tplc="D758E220">
      <w:numFmt w:val="bullet"/>
      <w:lvlText w:val="•"/>
      <w:lvlJc w:val="left"/>
      <w:pPr>
        <w:ind w:left="3471" w:hanging="269"/>
      </w:pPr>
      <w:rPr>
        <w:rFonts w:hint="default"/>
      </w:rPr>
    </w:lvl>
    <w:lvl w:ilvl="4" w:tplc="8A7889F6">
      <w:numFmt w:val="bullet"/>
      <w:lvlText w:val="•"/>
      <w:lvlJc w:val="left"/>
      <w:pPr>
        <w:ind w:left="4399" w:hanging="269"/>
      </w:pPr>
      <w:rPr>
        <w:rFonts w:hint="default"/>
      </w:rPr>
    </w:lvl>
    <w:lvl w:ilvl="5" w:tplc="1E306318">
      <w:numFmt w:val="bullet"/>
      <w:lvlText w:val="•"/>
      <w:lvlJc w:val="left"/>
      <w:pPr>
        <w:ind w:left="5327" w:hanging="269"/>
      </w:pPr>
      <w:rPr>
        <w:rFonts w:hint="default"/>
      </w:rPr>
    </w:lvl>
    <w:lvl w:ilvl="6" w:tplc="104A501E">
      <w:numFmt w:val="bullet"/>
      <w:lvlText w:val="•"/>
      <w:lvlJc w:val="left"/>
      <w:pPr>
        <w:ind w:left="6255" w:hanging="269"/>
      </w:pPr>
      <w:rPr>
        <w:rFonts w:hint="default"/>
      </w:rPr>
    </w:lvl>
    <w:lvl w:ilvl="7" w:tplc="F6E08D28">
      <w:numFmt w:val="bullet"/>
      <w:lvlText w:val="•"/>
      <w:lvlJc w:val="left"/>
      <w:pPr>
        <w:ind w:left="7183" w:hanging="269"/>
      </w:pPr>
      <w:rPr>
        <w:rFonts w:hint="default"/>
      </w:rPr>
    </w:lvl>
    <w:lvl w:ilvl="8" w:tplc="9F9A5DFE">
      <w:numFmt w:val="bullet"/>
      <w:lvlText w:val="•"/>
      <w:lvlJc w:val="left"/>
      <w:pPr>
        <w:ind w:left="8111" w:hanging="269"/>
      </w:pPr>
      <w:rPr>
        <w:rFonts w:hint="default"/>
      </w:rPr>
    </w:lvl>
  </w:abstractNum>
  <w:abstractNum w:abstractNumId="23">
    <w:nsid w:val="3C4024BD"/>
    <w:multiLevelType w:val="hybridMultilevel"/>
    <w:tmpl w:val="287458B2"/>
    <w:lvl w:ilvl="0" w:tplc="0122BB60">
      <w:numFmt w:val="bullet"/>
      <w:lvlText w:val="▪"/>
      <w:lvlJc w:val="left"/>
      <w:pPr>
        <w:ind w:left="420" w:hanging="360"/>
      </w:pPr>
      <w:rPr>
        <w:rFonts w:hint="default"/>
        <w:w w:val="128"/>
      </w:rPr>
    </w:lvl>
    <w:lvl w:ilvl="1" w:tplc="D5F6E9D8">
      <w:numFmt w:val="bullet"/>
      <w:lvlText w:val="•"/>
      <w:lvlJc w:val="left"/>
      <w:pPr>
        <w:ind w:left="584" w:hanging="360"/>
      </w:pPr>
      <w:rPr>
        <w:rFonts w:hint="default"/>
      </w:rPr>
    </w:lvl>
    <w:lvl w:ilvl="2" w:tplc="86D07ACC">
      <w:numFmt w:val="bullet"/>
      <w:lvlText w:val="•"/>
      <w:lvlJc w:val="left"/>
      <w:pPr>
        <w:ind w:left="749" w:hanging="360"/>
      </w:pPr>
      <w:rPr>
        <w:rFonts w:hint="default"/>
      </w:rPr>
    </w:lvl>
    <w:lvl w:ilvl="3" w:tplc="7CF8D142">
      <w:numFmt w:val="bullet"/>
      <w:lvlText w:val="•"/>
      <w:lvlJc w:val="left"/>
      <w:pPr>
        <w:ind w:left="914" w:hanging="360"/>
      </w:pPr>
      <w:rPr>
        <w:rFonts w:hint="default"/>
      </w:rPr>
    </w:lvl>
    <w:lvl w:ilvl="4" w:tplc="5FE2B518">
      <w:numFmt w:val="bullet"/>
      <w:lvlText w:val="•"/>
      <w:lvlJc w:val="left"/>
      <w:pPr>
        <w:ind w:left="1079" w:hanging="360"/>
      </w:pPr>
      <w:rPr>
        <w:rFonts w:hint="default"/>
      </w:rPr>
    </w:lvl>
    <w:lvl w:ilvl="5" w:tplc="FD42759A">
      <w:numFmt w:val="bullet"/>
      <w:lvlText w:val="•"/>
      <w:lvlJc w:val="left"/>
      <w:pPr>
        <w:ind w:left="1244" w:hanging="360"/>
      </w:pPr>
      <w:rPr>
        <w:rFonts w:hint="default"/>
      </w:rPr>
    </w:lvl>
    <w:lvl w:ilvl="6" w:tplc="119016FC">
      <w:numFmt w:val="bullet"/>
      <w:lvlText w:val="•"/>
      <w:lvlJc w:val="left"/>
      <w:pPr>
        <w:ind w:left="1409" w:hanging="360"/>
      </w:pPr>
      <w:rPr>
        <w:rFonts w:hint="default"/>
      </w:rPr>
    </w:lvl>
    <w:lvl w:ilvl="7" w:tplc="101E9398">
      <w:numFmt w:val="bullet"/>
      <w:lvlText w:val="•"/>
      <w:lvlJc w:val="left"/>
      <w:pPr>
        <w:ind w:left="1574" w:hanging="360"/>
      </w:pPr>
      <w:rPr>
        <w:rFonts w:hint="default"/>
      </w:rPr>
    </w:lvl>
    <w:lvl w:ilvl="8" w:tplc="D4DEF568">
      <w:numFmt w:val="bullet"/>
      <w:lvlText w:val="•"/>
      <w:lvlJc w:val="left"/>
      <w:pPr>
        <w:ind w:left="1739" w:hanging="360"/>
      </w:pPr>
      <w:rPr>
        <w:rFonts w:hint="default"/>
      </w:rPr>
    </w:lvl>
  </w:abstractNum>
  <w:abstractNum w:abstractNumId="24">
    <w:nsid w:val="40D436A2"/>
    <w:multiLevelType w:val="hybridMultilevel"/>
    <w:tmpl w:val="525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045B30"/>
    <w:multiLevelType w:val="hybridMultilevel"/>
    <w:tmpl w:val="00BE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3204BC"/>
    <w:multiLevelType w:val="hybridMultilevel"/>
    <w:tmpl w:val="84E008CA"/>
    <w:lvl w:ilvl="0" w:tplc="77F8F022">
      <w:numFmt w:val="bullet"/>
      <w:lvlText w:val=""/>
      <w:lvlJc w:val="left"/>
      <w:pPr>
        <w:ind w:left="1518" w:hanging="360"/>
      </w:pPr>
      <w:rPr>
        <w:rFonts w:hint="default"/>
        <w:w w:val="99"/>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27">
    <w:nsid w:val="49946EF3"/>
    <w:multiLevelType w:val="hybridMultilevel"/>
    <w:tmpl w:val="552A7CC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28">
    <w:nsid w:val="4D200F2B"/>
    <w:multiLevelType w:val="multilevel"/>
    <w:tmpl w:val="464C23C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D24170C"/>
    <w:multiLevelType w:val="hybridMultilevel"/>
    <w:tmpl w:val="60BA1704"/>
    <w:lvl w:ilvl="0" w:tplc="E00E0E1A">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0">
    <w:nsid w:val="4E696125"/>
    <w:multiLevelType w:val="hybridMultilevel"/>
    <w:tmpl w:val="0B7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B7A89"/>
    <w:multiLevelType w:val="hybridMultilevel"/>
    <w:tmpl w:val="34DA0F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6DD21BE"/>
    <w:multiLevelType w:val="hybridMultilevel"/>
    <w:tmpl w:val="4454BF0A"/>
    <w:lvl w:ilvl="0" w:tplc="8A324806">
      <w:start w:val="1"/>
      <w:numFmt w:val="decimal"/>
      <w:lvlText w:val="%1."/>
      <w:lvlJc w:val="left"/>
      <w:pPr>
        <w:ind w:left="939" w:hanging="720"/>
      </w:pPr>
      <w:rPr>
        <w:rFonts w:ascii="Arial" w:eastAsia="Arial" w:hAnsi="Arial" w:cs="Arial" w:hint="default"/>
        <w:b/>
        <w:bCs/>
        <w:w w:val="99"/>
        <w:sz w:val="24"/>
        <w:szCs w:val="24"/>
      </w:rPr>
    </w:lvl>
    <w:lvl w:ilvl="1" w:tplc="77F8F022">
      <w:numFmt w:val="bullet"/>
      <w:lvlText w:val=""/>
      <w:lvlJc w:val="left"/>
      <w:pPr>
        <w:ind w:left="939" w:hanging="360"/>
      </w:pPr>
      <w:rPr>
        <w:rFonts w:hint="default"/>
        <w:w w:val="99"/>
      </w:rPr>
    </w:lvl>
    <w:lvl w:ilvl="2" w:tplc="F2D45FC4">
      <w:numFmt w:val="bullet"/>
      <w:lvlText w:val="•"/>
      <w:lvlJc w:val="left"/>
      <w:pPr>
        <w:ind w:left="1920" w:hanging="360"/>
      </w:pPr>
      <w:rPr>
        <w:rFonts w:hint="default"/>
      </w:rPr>
    </w:lvl>
    <w:lvl w:ilvl="3" w:tplc="72A83AD8">
      <w:numFmt w:val="bullet"/>
      <w:lvlText w:val="•"/>
      <w:lvlJc w:val="left"/>
      <w:pPr>
        <w:ind w:left="2900" w:hanging="360"/>
      </w:pPr>
      <w:rPr>
        <w:rFonts w:hint="default"/>
      </w:rPr>
    </w:lvl>
    <w:lvl w:ilvl="4" w:tplc="E0CA508C">
      <w:numFmt w:val="bullet"/>
      <w:lvlText w:val="•"/>
      <w:lvlJc w:val="left"/>
      <w:pPr>
        <w:ind w:left="3880" w:hanging="360"/>
      </w:pPr>
      <w:rPr>
        <w:rFonts w:hint="default"/>
      </w:rPr>
    </w:lvl>
    <w:lvl w:ilvl="5" w:tplc="5CC2F1E4">
      <w:numFmt w:val="bullet"/>
      <w:lvlText w:val="•"/>
      <w:lvlJc w:val="left"/>
      <w:pPr>
        <w:ind w:left="4860" w:hanging="360"/>
      </w:pPr>
      <w:rPr>
        <w:rFonts w:hint="default"/>
      </w:rPr>
    </w:lvl>
    <w:lvl w:ilvl="6" w:tplc="458EC0F6">
      <w:numFmt w:val="bullet"/>
      <w:lvlText w:val="•"/>
      <w:lvlJc w:val="left"/>
      <w:pPr>
        <w:ind w:left="5840" w:hanging="360"/>
      </w:pPr>
      <w:rPr>
        <w:rFonts w:hint="default"/>
      </w:rPr>
    </w:lvl>
    <w:lvl w:ilvl="7" w:tplc="4424793E">
      <w:numFmt w:val="bullet"/>
      <w:lvlText w:val="•"/>
      <w:lvlJc w:val="left"/>
      <w:pPr>
        <w:ind w:left="6820" w:hanging="360"/>
      </w:pPr>
      <w:rPr>
        <w:rFonts w:hint="default"/>
      </w:rPr>
    </w:lvl>
    <w:lvl w:ilvl="8" w:tplc="D486D2AA">
      <w:numFmt w:val="bullet"/>
      <w:lvlText w:val="•"/>
      <w:lvlJc w:val="left"/>
      <w:pPr>
        <w:ind w:left="7800" w:hanging="360"/>
      </w:pPr>
      <w:rPr>
        <w:rFonts w:hint="default"/>
      </w:rPr>
    </w:lvl>
  </w:abstractNum>
  <w:abstractNum w:abstractNumId="33">
    <w:nsid w:val="58102ED4"/>
    <w:multiLevelType w:val="multilevel"/>
    <w:tmpl w:val="876844EA"/>
    <w:lvl w:ilvl="0">
      <w:start w:val="5"/>
      <w:numFmt w:val="decimal"/>
      <w:lvlText w:val="%1."/>
      <w:lvlJc w:val="left"/>
      <w:pPr>
        <w:ind w:left="390" w:hanging="39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5BC60840"/>
    <w:multiLevelType w:val="hybridMultilevel"/>
    <w:tmpl w:val="697AE3D4"/>
    <w:lvl w:ilvl="0" w:tplc="E564A990">
      <w:numFmt w:val="bullet"/>
      <w:lvlText w:val=""/>
      <w:lvlJc w:val="left"/>
      <w:pPr>
        <w:ind w:left="863" w:hanging="360"/>
      </w:pPr>
      <w:rPr>
        <w:rFonts w:hint="default"/>
        <w:w w:val="100"/>
      </w:rPr>
    </w:lvl>
    <w:lvl w:ilvl="1" w:tplc="AA24B0FA">
      <w:numFmt w:val="bullet"/>
      <w:lvlText w:val="•"/>
      <w:lvlJc w:val="left"/>
      <w:pPr>
        <w:ind w:left="1637" w:hanging="360"/>
      </w:pPr>
      <w:rPr>
        <w:rFonts w:hint="default"/>
      </w:rPr>
    </w:lvl>
    <w:lvl w:ilvl="2" w:tplc="EECCA752">
      <w:numFmt w:val="bullet"/>
      <w:lvlText w:val="•"/>
      <w:lvlJc w:val="left"/>
      <w:pPr>
        <w:ind w:left="2415" w:hanging="360"/>
      </w:pPr>
      <w:rPr>
        <w:rFonts w:hint="default"/>
      </w:rPr>
    </w:lvl>
    <w:lvl w:ilvl="3" w:tplc="A322BE5E">
      <w:numFmt w:val="bullet"/>
      <w:lvlText w:val="•"/>
      <w:lvlJc w:val="left"/>
      <w:pPr>
        <w:ind w:left="3193" w:hanging="360"/>
      </w:pPr>
      <w:rPr>
        <w:rFonts w:hint="default"/>
      </w:rPr>
    </w:lvl>
    <w:lvl w:ilvl="4" w:tplc="A1EC62E4">
      <w:numFmt w:val="bullet"/>
      <w:lvlText w:val="•"/>
      <w:lvlJc w:val="left"/>
      <w:pPr>
        <w:ind w:left="3971" w:hanging="360"/>
      </w:pPr>
      <w:rPr>
        <w:rFonts w:hint="default"/>
      </w:rPr>
    </w:lvl>
    <w:lvl w:ilvl="5" w:tplc="5FF003AA">
      <w:numFmt w:val="bullet"/>
      <w:lvlText w:val="•"/>
      <w:lvlJc w:val="left"/>
      <w:pPr>
        <w:ind w:left="4749" w:hanging="360"/>
      </w:pPr>
      <w:rPr>
        <w:rFonts w:hint="default"/>
      </w:rPr>
    </w:lvl>
    <w:lvl w:ilvl="6" w:tplc="E13A2FFE">
      <w:numFmt w:val="bullet"/>
      <w:lvlText w:val="•"/>
      <w:lvlJc w:val="left"/>
      <w:pPr>
        <w:ind w:left="5527" w:hanging="360"/>
      </w:pPr>
      <w:rPr>
        <w:rFonts w:hint="default"/>
      </w:rPr>
    </w:lvl>
    <w:lvl w:ilvl="7" w:tplc="A4CE084A">
      <w:numFmt w:val="bullet"/>
      <w:lvlText w:val="•"/>
      <w:lvlJc w:val="left"/>
      <w:pPr>
        <w:ind w:left="6305" w:hanging="360"/>
      </w:pPr>
      <w:rPr>
        <w:rFonts w:hint="default"/>
      </w:rPr>
    </w:lvl>
    <w:lvl w:ilvl="8" w:tplc="80663A1C">
      <w:numFmt w:val="bullet"/>
      <w:lvlText w:val="•"/>
      <w:lvlJc w:val="left"/>
      <w:pPr>
        <w:ind w:left="7083" w:hanging="360"/>
      </w:pPr>
      <w:rPr>
        <w:rFonts w:hint="default"/>
      </w:rPr>
    </w:lvl>
  </w:abstractNum>
  <w:abstractNum w:abstractNumId="35">
    <w:nsid w:val="61682C7B"/>
    <w:multiLevelType w:val="hybridMultilevel"/>
    <w:tmpl w:val="7150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80AD6"/>
    <w:multiLevelType w:val="hybridMultilevel"/>
    <w:tmpl w:val="C6DC7A3E"/>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37">
    <w:nsid w:val="63A447F3"/>
    <w:multiLevelType w:val="multilevel"/>
    <w:tmpl w:val="FA4CB89E"/>
    <w:lvl w:ilvl="0">
      <w:start w:val="4"/>
      <w:numFmt w:val="decimal"/>
      <w:lvlText w:val="%1"/>
      <w:lvlJc w:val="left"/>
      <w:pPr>
        <w:ind w:left="623" w:hanging="404"/>
      </w:pPr>
      <w:rPr>
        <w:rFonts w:hint="default"/>
      </w:rPr>
    </w:lvl>
    <w:lvl w:ilvl="1">
      <w:start w:val="2"/>
      <w:numFmt w:val="decimal"/>
      <w:lvlText w:val="%1.%2"/>
      <w:lvlJc w:val="left"/>
      <w:pPr>
        <w:ind w:left="623" w:hanging="404"/>
      </w:pPr>
      <w:rPr>
        <w:rFonts w:ascii="Arial" w:eastAsia="Arial" w:hAnsi="Arial" w:cs="Arial" w:hint="default"/>
        <w:b/>
        <w:bCs/>
        <w:w w:val="99"/>
        <w:sz w:val="24"/>
        <w:szCs w:val="24"/>
      </w:rPr>
    </w:lvl>
    <w:lvl w:ilvl="2">
      <w:start w:val="1"/>
      <w:numFmt w:val="decimal"/>
      <w:lvlText w:val="%3."/>
      <w:lvlJc w:val="left"/>
      <w:pPr>
        <w:ind w:left="939" w:hanging="360"/>
      </w:pPr>
      <w:rPr>
        <w:rFonts w:ascii="Arial" w:eastAsia="Arial" w:hAnsi="Arial" w:cs="Arial" w:hint="default"/>
        <w:spacing w:val="-2"/>
        <w:w w:val="99"/>
        <w:sz w:val="24"/>
        <w:szCs w:val="24"/>
      </w:rPr>
    </w:lvl>
    <w:lvl w:ilvl="3">
      <w:numFmt w:val="bullet"/>
      <w:lvlText w:val="•"/>
      <w:lvlJc w:val="left"/>
      <w:pPr>
        <w:ind w:left="2900" w:hanging="360"/>
      </w:pPr>
      <w:rPr>
        <w:rFonts w:hint="default"/>
      </w:rPr>
    </w:lvl>
    <w:lvl w:ilvl="4">
      <w:numFmt w:val="bullet"/>
      <w:lvlText w:val="•"/>
      <w:lvlJc w:val="left"/>
      <w:pPr>
        <w:ind w:left="3880" w:hanging="360"/>
      </w:pPr>
      <w:rPr>
        <w:rFonts w:hint="default"/>
      </w:rPr>
    </w:lvl>
    <w:lvl w:ilvl="5">
      <w:numFmt w:val="bullet"/>
      <w:lvlText w:val="•"/>
      <w:lvlJc w:val="left"/>
      <w:pPr>
        <w:ind w:left="4860" w:hanging="360"/>
      </w:pPr>
      <w:rPr>
        <w:rFonts w:hint="default"/>
      </w:rPr>
    </w:lvl>
    <w:lvl w:ilvl="6">
      <w:numFmt w:val="bullet"/>
      <w:lvlText w:val="•"/>
      <w:lvlJc w:val="left"/>
      <w:pPr>
        <w:ind w:left="5840" w:hanging="360"/>
      </w:pPr>
      <w:rPr>
        <w:rFonts w:hint="default"/>
      </w:rPr>
    </w:lvl>
    <w:lvl w:ilvl="7">
      <w:numFmt w:val="bullet"/>
      <w:lvlText w:val="•"/>
      <w:lvlJc w:val="left"/>
      <w:pPr>
        <w:ind w:left="6820" w:hanging="360"/>
      </w:pPr>
      <w:rPr>
        <w:rFonts w:hint="default"/>
      </w:rPr>
    </w:lvl>
    <w:lvl w:ilvl="8">
      <w:numFmt w:val="bullet"/>
      <w:lvlText w:val="•"/>
      <w:lvlJc w:val="left"/>
      <w:pPr>
        <w:ind w:left="7800" w:hanging="360"/>
      </w:pPr>
      <w:rPr>
        <w:rFonts w:hint="default"/>
      </w:rPr>
    </w:lvl>
  </w:abstractNum>
  <w:abstractNum w:abstractNumId="38">
    <w:nsid w:val="63D47FC9"/>
    <w:multiLevelType w:val="hybridMultilevel"/>
    <w:tmpl w:val="D362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210B33"/>
    <w:multiLevelType w:val="multilevel"/>
    <w:tmpl w:val="86EEE1D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E42F79"/>
    <w:multiLevelType w:val="hybridMultilevel"/>
    <w:tmpl w:val="191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7698E"/>
    <w:multiLevelType w:val="hybridMultilevel"/>
    <w:tmpl w:val="FAC029B6"/>
    <w:lvl w:ilvl="0" w:tplc="8CB46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59663C"/>
    <w:multiLevelType w:val="hybridMultilevel"/>
    <w:tmpl w:val="A2D8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C473C8"/>
    <w:multiLevelType w:val="hybridMultilevel"/>
    <w:tmpl w:val="FFE6E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CF46260"/>
    <w:multiLevelType w:val="multilevel"/>
    <w:tmpl w:val="B43CD548"/>
    <w:lvl w:ilvl="0">
      <w:start w:val="3"/>
      <w:numFmt w:val="decimal"/>
      <w:lvlText w:val="%1"/>
      <w:lvlJc w:val="left"/>
      <w:pPr>
        <w:ind w:left="623" w:hanging="404"/>
      </w:pPr>
      <w:rPr>
        <w:rFonts w:hint="default"/>
      </w:rPr>
    </w:lvl>
    <w:lvl w:ilvl="1">
      <w:start w:val="1"/>
      <w:numFmt w:val="decimal"/>
      <w:lvlText w:val="%1.%2"/>
      <w:lvlJc w:val="left"/>
      <w:pPr>
        <w:ind w:left="623" w:hanging="404"/>
      </w:pPr>
      <w:rPr>
        <w:rFonts w:ascii="Arial" w:eastAsia="Arial" w:hAnsi="Arial" w:cs="Arial" w:hint="default"/>
        <w:b/>
        <w:bCs/>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2900" w:hanging="360"/>
      </w:pPr>
      <w:rPr>
        <w:rFonts w:hint="default"/>
      </w:rPr>
    </w:lvl>
    <w:lvl w:ilvl="4">
      <w:numFmt w:val="bullet"/>
      <w:lvlText w:val="•"/>
      <w:lvlJc w:val="left"/>
      <w:pPr>
        <w:ind w:left="3880" w:hanging="360"/>
      </w:pPr>
      <w:rPr>
        <w:rFonts w:hint="default"/>
      </w:rPr>
    </w:lvl>
    <w:lvl w:ilvl="5">
      <w:numFmt w:val="bullet"/>
      <w:lvlText w:val="•"/>
      <w:lvlJc w:val="left"/>
      <w:pPr>
        <w:ind w:left="4860" w:hanging="360"/>
      </w:pPr>
      <w:rPr>
        <w:rFonts w:hint="default"/>
      </w:rPr>
    </w:lvl>
    <w:lvl w:ilvl="6">
      <w:numFmt w:val="bullet"/>
      <w:lvlText w:val="•"/>
      <w:lvlJc w:val="left"/>
      <w:pPr>
        <w:ind w:left="5840" w:hanging="360"/>
      </w:pPr>
      <w:rPr>
        <w:rFonts w:hint="default"/>
      </w:rPr>
    </w:lvl>
    <w:lvl w:ilvl="7">
      <w:numFmt w:val="bullet"/>
      <w:lvlText w:val="•"/>
      <w:lvlJc w:val="left"/>
      <w:pPr>
        <w:ind w:left="6820" w:hanging="360"/>
      </w:pPr>
      <w:rPr>
        <w:rFonts w:hint="default"/>
      </w:rPr>
    </w:lvl>
    <w:lvl w:ilvl="8">
      <w:numFmt w:val="bullet"/>
      <w:lvlText w:val="•"/>
      <w:lvlJc w:val="left"/>
      <w:pPr>
        <w:ind w:left="7800" w:hanging="360"/>
      </w:pPr>
      <w:rPr>
        <w:rFonts w:hint="default"/>
      </w:rPr>
    </w:lvl>
  </w:abstractNum>
  <w:abstractNum w:abstractNumId="45">
    <w:nsid w:val="7D271548"/>
    <w:multiLevelType w:val="hybridMultilevel"/>
    <w:tmpl w:val="A2C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C41DCB"/>
    <w:multiLevelType w:val="hybridMultilevel"/>
    <w:tmpl w:val="4E04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3"/>
  </w:num>
  <w:num w:numId="4">
    <w:abstractNumId w:val="3"/>
  </w:num>
  <w:num w:numId="5">
    <w:abstractNumId w:val="0"/>
  </w:num>
  <w:num w:numId="6">
    <w:abstractNumId w:val="6"/>
  </w:num>
  <w:num w:numId="7">
    <w:abstractNumId w:val="34"/>
  </w:num>
  <w:num w:numId="8">
    <w:abstractNumId w:val="37"/>
  </w:num>
  <w:num w:numId="9">
    <w:abstractNumId w:val="2"/>
  </w:num>
  <w:num w:numId="10">
    <w:abstractNumId w:val="44"/>
  </w:num>
  <w:num w:numId="11">
    <w:abstractNumId w:val="32"/>
  </w:num>
  <w:num w:numId="12">
    <w:abstractNumId w:val="22"/>
  </w:num>
  <w:num w:numId="13">
    <w:abstractNumId w:val="38"/>
  </w:num>
  <w:num w:numId="14">
    <w:abstractNumId w:val="33"/>
  </w:num>
  <w:num w:numId="15">
    <w:abstractNumId w:val="45"/>
  </w:num>
  <w:num w:numId="16">
    <w:abstractNumId w:val="15"/>
  </w:num>
  <w:num w:numId="17">
    <w:abstractNumId w:val="9"/>
  </w:num>
  <w:num w:numId="18">
    <w:abstractNumId w:val="41"/>
  </w:num>
  <w:num w:numId="19">
    <w:abstractNumId w:val="29"/>
  </w:num>
  <w:num w:numId="20">
    <w:abstractNumId w:val="46"/>
  </w:num>
  <w:num w:numId="21">
    <w:abstractNumId w:val="25"/>
  </w:num>
  <w:num w:numId="22">
    <w:abstractNumId w:val="28"/>
  </w:num>
  <w:num w:numId="23">
    <w:abstractNumId w:val="26"/>
  </w:num>
  <w:num w:numId="24">
    <w:abstractNumId w:val="11"/>
  </w:num>
  <w:num w:numId="25">
    <w:abstractNumId w:val="27"/>
  </w:num>
  <w:num w:numId="26">
    <w:abstractNumId w:val="30"/>
  </w:num>
  <w:num w:numId="27">
    <w:abstractNumId w:val="40"/>
  </w:num>
  <w:num w:numId="28">
    <w:abstractNumId w:val="18"/>
  </w:num>
  <w:num w:numId="29">
    <w:abstractNumId w:val="39"/>
  </w:num>
  <w:num w:numId="30">
    <w:abstractNumId w:val="4"/>
  </w:num>
  <w:num w:numId="31">
    <w:abstractNumId w:val="17"/>
  </w:num>
  <w:num w:numId="32">
    <w:abstractNumId w:val="24"/>
  </w:num>
  <w:num w:numId="33">
    <w:abstractNumId w:val="42"/>
  </w:num>
  <w:num w:numId="34">
    <w:abstractNumId w:val="20"/>
  </w:num>
  <w:num w:numId="35">
    <w:abstractNumId w:val="21"/>
  </w:num>
  <w:num w:numId="36">
    <w:abstractNumId w:val="31"/>
  </w:num>
  <w:num w:numId="37">
    <w:abstractNumId w:val="36"/>
  </w:num>
  <w:num w:numId="38">
    <w:abstractNumId w:val="43"/>
  </w:num>
  <w:num w:numId="39">
    <w:abstractNumId w:val="13"/>
  </w:num>
  <w:num w:numId="40">
    <w:abstractNumId w:val="8"/>
  </w:num>
  <w:num w:numId="41">
    <w:abstractNumId w:val="19"/>
  </w:num>
  <w:num w:numId="42">
    <w:abstractNumId w:val="14"/>
  </w:num>
  <w:num w:numId="43">
    <w:abstractNumId w:val="10"/>
  </w:num>
  <w:num w:numId="44">
    <w:abstractNumId w:val="3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A5"/>
    <w:rsid w:val="00016790"/>
    <w:rsid w:val="0002327E"/>
    <w:rsid w:val="00025F50"/>
    <w:rsid w:val="00035096"/>
    <w:rsid w:val="000418E1"/>
    <w:rsid w:val="00041DB0"/>
    <w:rsid w:val="0004471E"/>
    <w:rsid w:val="000514E8"/>
    <w:rsid w:val="00053D8F"/>
    <w:rsid w:val="00064AF7"/>
    <w:rsid w:val="000725C2"/>
    <w:rsid w:val="0008225D"/>
    <w:rsid w:val="000911E5"/>
    <w:rsid w:val="00096C38"/>
    <w:rsid w:val="000A7417"/>
    <w:rsid w:val="000B0741"/>
    <w:rsid w:val="000F6F70"/>
    <w:rsid w:val="0010199B"/>
    <w:rsid w:val="00113AE7"/>
    <w:rsid w:val="00117BFD"/>
    <w:rsid w:val="0013169D"/>
    <w:rsid w:val="0017216C"/>
    <w:rsid w:val="00175360"/>
    <w:rsid w:val="00186BC8"/>
    <w:rsid w:val="001A1BE7"/>
    <w:rsid w:val="001B7D7F"/>
    <w:rsid w:val="001C372E"/>
    <w:rsid w:val="001C78A1"/>
    <w:rsid w:val="001D2417"/>
    <w:rsid w:val="001D4A61"/>
    <w:rsid w:val="001E5044"/>
    <w:rsid w:val="001E5426"/>
    <w:rsid w:val="001F0A67"/>
    <w:rsid w:val="0020210F"/>
    <w:rsid w:val="002050AF"/>
    <w:rsid w:val="00216872"/>
    <w:rsid w:val="002765E5"/>
    <w:rsid w:val="002A45BE"/>
    <w:rsid w:val="002C0411"/>
    <w:rsid w:val="002E02DA"/>
    <w:rsid w:val="002F6C81"/>
    <w:rsid w:val="002F6DA2"/>
    <w:rsid w:val="00345BFA"/>
    <w:rsid w:val="00347D27"/>
    <w:rsid w:val="00357DFE"/>
    <w:rsid w:val="003C3836"/>
    <w:rsid w:val="003D2044"/>
    <w:rsid w:val="003F63F6"/>
    <w:rsid w:val="0041703F"/>
    <w:rsid w:val="00426125"/>
    <w:rsid w:val="00437B20"/>
    <w:rsid w:val="004430E6"/>
    <w:rsid w:val="00447A74"/>
    <w:rsid w:val="00464025"/>
    <w:rsid w:val="004746A2"/>
    <w:rsid w:val="004A16D5"/>
    <w:rsid w:val="004C4F24"/>
    <w:rsid w:val="004C6080"/>
    <w:rsid w:val="004E7681"/>
    <w:rsid w:val="004F00F5"/>
    <w:rsid w:val="004F4932"/>
    <w:rsid w:val="005138F3"/>
    <w:rsid w:val="00516393"/>
    <w:rsid w:val="005218CB"/>
    <w:rsid w:val="00525A04"/>
    <w:rsid w:val="00533A13"/>
    <w:rsid w:val="00550974"/>
    <w:rsid w:val="00556325"/>
    <w:rsid w:val="0055717E"/>
    <w:rsid w:val="00564B53"/>
    <w:rsid w:val="00574DE4"/>
    <w:rsid w:val="0059057D"/>
    <w:rsid w:val="005911AA"/>
    <w:rsid w:val="005A5C05"/>
    <w:rsid w:val="0061155E"/>
    <w:rsid w:val="006842BA"/>
    <w:rsid w:val="006962F4"/>
    <w:rsid w:val="006A53BA"/>
    <w:rsid w:val="006C61E1"/>
    <w:rsid w:val="006D47D4"/>
    <w:rsid w:val="006F42B0"/>
    <w:rsid w:val="007062B7"/>
    <w:rsid w:val="00755067"/>
    <w:rsid w:val="00755454"/>
    <w:rsid w:val="007836B9"/>
    <w:rsid w:val="007A1D91"/>
    <w:rsid w:val="007A5DB9"/>
    <w:rsid w:val="007C4EA5"/>
    <w:rsid w:val="007C6533"/>
    <w:rsid w:val="007D064D"/>
    <w:rsid w:val="007D0CBB"/>
    <w:rsid w:val="007D6B8A"/>
    <w:rsid w:val="007E2430"/>
    <w:rsid w:val="007E5991"/>
    <w:rsid w:val="00814A65"/>
    <w:rsid w:val="00817195"/>
    <w:rsid w:val="00824C5E"/>
    <w:rsid w:val="00840A76"/>
    <w:rsid w:val="008623F9"/>
    <w:rsid w:val="0086560D"/>
    <w:rsid w:val="008853EA"/>
    <w:rsid w:val="008913D3"/>
    <w:rsid w:val="008A01FC"/>
    <w:rsid w:val="008B1FFC"/>
    <w:rsid w:val="008E123B"/>
    <w:rsid w:val="008F6C86"/>
    <w:rsid w:val="00901C05"/>
    <w:rsid w:val="009127A5"/>
    <w:rsid w:val="00912BD4"/>
    <w:rsid w:val="00913267"/>
    <w:rsid w:val="00916757"/>
    <w:rsid w:val="00934642"/>
    <w:rsid w:val="009450F2"/>
    <w:rsid w:val="00957E38"/>
    <w:rsid w:val="009B65EA"/>
    <w:rsid w:val="009D2E05"/>
    <w:rsid w:val="009E2721"/>
    <w:rsid w:val="009E44D4"/>
    <w:rsid w:val="009E4EAF"/>
    <w:rsid w:val="00A102F7"/>
    <w:rsid w:val="00A1182C"/>
    <w:rsid w:val="00A40D17"/>
    <w:rsid w:val="00A554B4"/>
    <w:rsid w:val="00A919FD"/>
    <w:rsid w:val="00AB6E59"/>
    <w:rsid w:val="00AC5858"/>
    <w:rsid w:val="00AE688A"/>
    <w:rsid w:val="00AE6C26"/>
    <w:rsid w:val="00AF61B5"/>
    <w:rsid w:val="00AF7468"/>
    <w:rsid w:val="00B34672"/>
    <w:rsid w:val="00B43702"/>
    <w:rsid w:val="00B6470B"/>
    <w:rsid w:val="00B71A4D"/>
    <w:rsid w:val="00B81651"/>
    <w:rsid w:val="00BD2B69"/>
    <w:rsid w:val="00BF77DA"/>
    <w:rsid w:val="00C128BA"/>
    <w:rsid w:val="00C14A6A"/>
    <w:rsid w:val="00C24553"/>
    <w:rsid w:val="00C429EB"/>
    <w:rsid w:val="00C45098"/>
    <w:rsid w:val="00C458CF"/>
    <w:rsid w:val="00C513DC"/>
    <w:rsid w:val="00C55D76"/>
    <w:rsid w:val="00C75C69"/>
    <w:rsid w:val="00C87EA6"/>
    <w:rsid w:val="00C91763"/>
    <w:rsid w:val="00CB4A4E"/>
    <w:rsid w:val="00CD735B"/>
    <w:rsid w:val="00CF5C75"/>
    <w:rsid w:val="00CF6046"/>
    <w:rsid w:val="00D12396"/>
    <w:rsid w:val="00D66F86"/>
    <w:rsid w:val="00DC3F15"/>
    <w:rsid w:val="00DF1158"/>
    <w:rsid w:val="00E149EA"/>
    <w:rsid w:val="00E2580F"/>
    <w:rsid w:val="00E306B9"/>
    <w:rsid w:val="00E42A5D"/>
    <w:rsid w:val="00E668B1"/>
    <w:rsid w:val="00E77955"/>
    <w:rsid w:val="00EB6B67"/>
    <w:rsid w:val="00F20AE3"/>
    <w:rsid w:val="00F27BD5"/>
    <w:rsid w:val="00F445A5"/>
    <w:rsid w:val="00F7363C"/>
    <w:rsid w:val="00F75991"/>
    <w:rsid w:val="00F94833"/>
    <w:rsid w:val="00FA7510"/>
    <w:rsid w:val="00FC6255"/>
    <w:rsid w:val="00FE0A49"/>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488" w:hanging="269"/>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F6F70"/>
    <w:rPr>
      <w:rFonts w:ascii="Tahoma" w:hAnsi="Tahoma" w:cs="Tahoma"/>
      <w:sz w:val="16"/>
      <w:szCs w:val="16"/>
    </w:rPr>
  </w:style>
  <w:style w:type="character" w:customStyle="1" w:styleId="BalloonTextChar">
    <w:name w:val="Balloon Text Char"/>
    <w:basedOn w:val="DefaultParagraphFont"/>
    <w:link w:val="BalloonText"/>
    <w:uiPriority w:val="99"/>
    <w:semiHidden/>
    <w:rsid w:val="000F6F70"/>
    <w:rPr>
      <w:rFonts w:ascii="Tahoma" w:eastAsia="Arial" w:hAnsi="Tahoma" w:cs="Tahoma"/>
      <w:sz w:val="16"/>
      <w:szCs w:val="16"/>
    </w:rPr>
  </w:style>
  <w:style w:type="paragraph" w:customStyle="1" w:styleId="Default">
    <w:name w:val="Default"/>
    <w:rsid w:val="00025F50"/>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025F50"/>
    <w:pPr>
      <w:tabs>
        <w:tab w:val="center" w:pos="4513"/>
        <w:tab w:val="right" w:pos="9026"/>
      </w:tabs>
    </w:pPr>
  </w:style>
  <w:style w:type="character" w:customStyle="1" w:styleId="HeaderChar">
    <w:name w:val="Header Char"/>
    <w:basedOn w:val="DefaultParagraphFont"/>
    <w:link w:val="Header"/>
    <w:uiPriority w:val="99"/>
    <w:rsid w:val="00025F50"/>
    <w:rPr>
      <w:rFonts w:ascii="Arial" w:eastAsia="Arial" w:hAnsi="Arial" w:cs="Arial"/>
    </w:rPr>
  </w:style>
  <w:style w:type="paragraph" w:styleId="Footer">
    <w:name w:val="footer"/>
    <w:basedOn w:val="Normal"/>
    <w:link w:val="FooterChar"/>
    <w:uiPriority w:val="99"/>
    <w:unhideWhenUsed/>
    <w:rsid w:val="00025F50"/>
    <w:pPr>
      <w:tabs>
        <w:tab w:val="center" w:pos="4513"/>
        <w:tab w:val="right" w:pos="9026"/>
      </w:tabs>
    </w:pPr>
  </w:style>
  <w:style w:type="character" w:customStyle="1" w:styleId="FooterChar">
    <w:name w:val="Footer Char"/>
    <w:basedOn w:val="DefaultParagraphFont"/>
    <w:link w:val="Footer"/>
    <w:uiPriority w:val="99"/>
    <w:rsid w:val="00025F50"/>
    <w:rPr>
      <w:rFonts w:ascii="Arial" w:eastAsia="Arial" w:hAnsi="Arial" w:cs="Arial"/>
    </w:rPr>
  </w:style>
  <w:style w:type="table" w:styleId="TableGrid">
    <w:name w:val="Table Grid"/>
    <w:basedOn w:val="TableNormal"/>
    <w:uiPriority w:val="59"/>
    <w:rsid w:val="0006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7E38"/>
    <w:rPr>
      <w:rFonts w:ascii="Arial" w:eastAsia="Arial" w:hAnsi="Arial" w:cs="Arial"/>
    </w:rPr>
  </w:style>
  <w:style w:type="character" w:styleId="Hyperlink">
    <w:name w:val="Hyperlink"/>
    <w:basedOn w:val="DefaultParagraphFont"/>
    <w:uiPriority w:val="99"/>
    <w:unhideWhenUsed/>
    <w:rsid w:val="00B71A4D"/>
    <w:rPr>
      <w:color w:val="0000FF" w:themeColor="hyperlink"/>
      <w:u w:val="single"/>
    </w:rPr>
  </w:style>
  <w:style w:type="character" w:styleId="Emphasis">
    <w:name w:val="Emphasis"/>
    <w:basedOn w:val="DefaultParagraphFont"/>
    <w:uiPriority w:val="20"/>
    <w:qFormat/>
    <w:rsid w:val="00FA7510"/>
    <w:rPr>
      <w:i/>
      <w:iCs/>
    </w:rPr>
  </w:style>
  <w:style w:type="paragraph" w:customStyle="1" w:styleId="small-text">
    <w:name w:val="small-text"/>
    <w:basedOn w:val="Normal"/>
    <w:rsid w:val="009450F2"/>
    <w:pPr>
      <w:widowControl/>
      <w:autoSpaceDE/>
      <w:autoSpaceDN/>
      <w:spacing w:before="100" w:beforeAutospacing="1" w:after="100" w:afterAutospacing="1" w:line="210" w:lineRule="atLeast"/>
      <w:jc w:val="right"/>
    </w:pPr>
    <w:rPr>
      <w:rFonts w:ascii="Times New Roman" w:eastAsia="Times New Roman" w:hAnsi="Times New Roman" w:cs="Times New Roman"/>
      <w:color w:val="666666"/>
      <w:sz w:val="17"/>
      <w:szCs w:val="17"/>
      <w:lang w:val="en-GB" w:eastAsia="en-GB"/>
    </w:rPr>
  </w:style>
  <w:style w:type="paragraph" w:customStyle="1" w:styleId="h3">
    <w:name w:val="h3"/>
    <w:basedOn w:val="Normal"/>
    <w:rsid w:val="009450F2"/>
    <w:pPr>
      <w:widowControl/>
      <w:autoSpaceDE/>
      <w:autoSpaceDN/>
      <w:spacing w:before="98" w:after="98" w:line="330" w:lineRule="atLeast"/>
    </w:pPr>
    <w:rPr>
      <w:rFonts w:ascii="Times New Roman" w:eastAsia="Times New Roman" w:hAnsi="Times New Roman" w:cs="Times New Roman"/>
      <w:sz w:val="32"/>
      <w:szCs w:val="32"/>
      <w:lang w:val="en-GB" w:eastAsia="en-GB"/>
    </w:rPr>
  </w:style>
  <w:style w:type="character" w:styleId="FollowedHyperlink">
    <w:name w:val="FollowedHyperlink"/>
    <w:basedOn w:val="DefaultParagraphFont"/>
    <w:uiPriority w:val="99"/>
    <w:semiHidden/>
    <w:unhideWhenUsed/>
    <w:rsid w:val="00DC3F15"/>
    <w:rPr>
      <w:color w:val="800080" w:themeColor="followedHyperlink"/>
      <w:u w:val="single"/>
    </w:rPr>
  </w:style>
  <w:style w:type="paragraph" w:customStyle="1" w:styleId="Pa13">
    <w:name w:val="Pa13"/>
    <w:basedOn w:val="Default"/>
    <w:next w:val="Default"/>
    <w:uiPriority w:val="99"/>
    <w:rsid w:val="002F6C81"/>
    <w:pPr>
      <w:spacing w:line="321" w:lineRule="atLeast"/>
    </w:pPr>
    <w:rPr>
      <w:color w:val="auto"/>
    </w:rPr>
  </w:style>
  <w:style w:type="paragraph" w:customStyle="1" w:styleId="Pa4">
    <w:name w:val="Pa4"/>
    <w:basedOn w:val="Default"/>
    <w:next w:val="Default"/>
    <w:uiPriority w:val="99"/>
    <w:rsid w:val="002F6C81"/>
    <w:pPr>
      <w:spacing w:line="221" w:lineRule="atLeast"/>
    </w:pPr>
    <w:rPr>
      <w:color w:val="auto"/>
    </w:rPr>
  </w:style>
  <w:style w:type="paragraph" w:customStyle="1" w:styleId="Pa6">
    <w:name w:val="Pa6"/>
    <w:basedOn w:val="Normal"/>
    <w:next w:val="Normal"/>
    <w:uiPriority w:val="99"/>
    <w:rsid w:val="002F6C81"/>
    <w:pPr>
      <w:widowControl/>
      <w:adjustRightInd w:val="0"/>
      <w:spacing w:line="201" w:lineRule="atLeast"/>
    </w:pPr>
    <w:rPr>
      <w:rFonts w:eastAsiaTheme="minorHAnsi"/>
      <w:sz w:val="24"/>
      <w:szCs w:val="24"/>
      <w:lang w:val="en-GB"/>
    </w:rPr>
  </w:style>
  <w:style w:type="paragraph" w:customStyle="1" w:styleId="Pa7">
    <w:name w:val="Pa7"/>
    <w:basedOn w:val="Normal"/>
    <w:next w:val="Normal"/>
    <w:uiPriority w:val="99"/>
    <w:rsid w:val="002F6C81"/>
    <w:pPr>
      <w:widowControl/>
      <w:adjustRightInd w:val="0"/>
      <w:spacing w:line="191" w:lineRule="atLeast"/>
    </w:pPr>
    <w:rPr>
      <w:rFonts w:eastAsiaTheme="minorHAnsi"/>
      <w:sz w:val="24"/>
      <w:szCs w:val="24"/>
      <w:lang w:val="en-GB"/>
    </w:rPr>
  </w:style>
  <w:style w:type="paragraph" w:customStyle="1" w:styleId="Pa17">
    <w:name w:val="Pa17"/>
    <w:basedOn w:val="Normal"/>
    <w:next w:val="Normal"/>
    <w:uiPriority w:val="99"/>
    <w:rsid w:val="002F6C81"/>
    <w:pPr>
      <w:widowControl/>
      <w:adjustRightInd w:val="0"/>
      <w:spacing w:line="191" w:lineRule="atLeast"/>
    </w:pPr>
    <w:rPr>
      <w:rFonts w:eastAsiaTheme="minorHAnsi"/>
      <w:sz w:val="24"/>
      <w:szCs w:val="24"/>
      <w:lang w:val="en-GB"/>
    </w:rPr>
  </w:style>
  <w:style w:type="paragraph" w:customStyle="1" w:styleId="Pa8">
    <w:name w:val="Pa8"/>
    <w:basedOn w:val="Normal"/>
    <w:next w:val="Normal"/>
    <w:uiPriority w:val="99"/>
    <w:rsid w:val="002F6C81"/>
    <w:pPr>
      <w:widowControl/>
      <w:adjustRightInd w:val="0"/>
      <w:spacing w:line="201" w:lineRule="atLeast"/>
    </w:pPr>
    <w:rPr>
      <w:rFonts w:eastAsiaTheme="minorHAnsi"/>
      <w:sz w:val="24"/>
      <w:szCs w:val="24"/>
      <w:lang w:val="en-GB"/>
    </w:rPr>
  </w:style>
  <w:style w:type="paragraph" w:customStyle="1" w:styleId="Pa18">
    <w:name w:val="Pa18"/>
    <w:basedOn w:val="Normal"/>
    <w:next w:val="Normal"/>
    <w:uiPriority w:val="99"/>
    <w:rsid w:val="002F6C81"/>
    <w:pPr>
      <w:widowControl/>
      <w:adjustRightInd w:val="0"/>
      <w:spacing w:line="201" w:lineRule="atLeast"/>
    </w:pPr>
    <w:rPr>
      <w:rFonts w:eastAsiaTheme="minorHAnsi"/>
      <w:sz w:val="24"/>
      <w:szCs w:val="24"/>
      <w:lang w:val="en-GB"/>
    </w:rPr>
  </w:style>
  <w:style w:type="paragraph" w:styleId="TOCHeading">
    <w:name w:val="TOC Heading"/>
    <w:basedOn w:val="Heading1"/>
    <w:next w:val="Normal"/>
    <w:uiPriority w:val="39"/>
    <w:semiHidden/>
    <w:unhideWhenUsed/>
    <w:qFormat/>
    <w:rsid w:val="00447A7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447A7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488" w:hanging="269"/>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F6F70"/>
    <w:rPr>
      <w:rFonts w:ascii="Tahoma" w:hAnsi="Tahoma" w:cs="Tahoma"/>
      <w:sz w:val="16"/>
      <w:szCs w:val="16"/>
    </w:rPr>
  </w:style>
  <w:style w:type="character" w:customStyle="1" w:styleId="BalloonTextChar">
    <w:name w:val="Balloon Text Char"/>
    <w:basedOn w:val="DefaultParagraphFont"/>
    <w:link w:val="BalloonText"/>
    <w:uiPriority w:val="99"/>
    <w:semiHidden/>
    <w:rsid w:val="000F6F70"/>
    <w:rPr>
      <w:rFonts w:ascii="Tahoma" w:eastAsia="Arial" w:hAnsi="Tahoma" w:cs="Tahoma"/>
      <w:sz w:val="16"/>
      <w:szCs w:val="16"/>
    </w:rPr>
  </w:style>
  <w:style w:type="paragraph" w:customStyle="1" w:styleId="Default">
    <w:name w:val="Default"/>
    <w:rsid w:val="00025F50"/>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025F50"/>
    <w:pPr>
      <w:tabs>
        <w:tab w:val="center" w:pos="4513"/>
        <w:tab w:val="right" w:pos="9026"/>
      </w:tabs>
    </w:pPr>
  </w:style>
  <w:style w:type="character" w:customStyle="1" w:styleId="HeaderChar">
    <w:name w:val="Header Char"/>
    <w:basedOn w:val="DefaultParagraphFont"/>
    <w:link w:val="Header"/>
    <w:uiPriority w:val="99"/>
    <w:rsid w:val="00025F50"/>
    <w:rPr>
      <w:rFonts w:ascii="Arial" w:eastAsia="Arial" w:hAnsi="Arial" w:cs="Arial"/>
    </w:rPr>
  </w:style>
  <w:style w:type="paragraph" w:styleId="Footer">
    <w:name w:val="footer"/>
    <w:basedOn w:val="Normal"/>
    <w:link w:val="FooterChar"/>
    <w:uiPriority w:val="99"/>
    <w:unhideWhenUsed/>
    <w:rsid w:val="00025F50"/>
    <w:pPr>
      <w:tabs>
        <w:tab w:val="center" w:pos="4513"/>
        <w:tab w:val="right" w:pos="9026"/>
      </w:tabs>
    </w:pPr>
  </w:style>
  <w:style w:type="character" w:customStyle="1" w:styleId="FooterChar">
    <w:name w:val="Footer Char"/>
    <w:basedOn w:val="DefaultParagraphFont"/>
    <w:link w:val="Footer"/>
    <w:uiPriority w:val="99"/>
    <w:rsid w:val="00025F50"/>
    <w:rPr>
      <w:rFonts w:ascii="Arial" w:eastAsia="Arial" w:hAnsi="Arial" w:cs="Arial"/>
    </w:rPr>
  </w:style>
  <w:style w:type="table" w:styleId="TableGrid">
    <w:name w:val="Table Grid"/>
    <w:basedOn w:val="TableNormal"/>
    <w:uiPriority w:val="59"/>
    <w:rsid w:val="0006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7E38"/>
    <w:rPr>
      <w:rFonts w:ascii="Arial" w:eastAsia="Arial" w:hAnsi="Arial" w:cs="Arial"/>
    </w:rPr>
  </w:style>
  <w:style w:type="character" w:styleId="Hyperlink">
    <w:name w:val="Hyperlink"/>
    <w:basedOn w:val="DefaultParagraphFont"/>
    <w:uiPriority w:val="99"/>
    <w:unhideWhenUsed/>
    <w:rsid w:val="00B71A4D"/>
    <w:rPr>
      <w:color w:val="0000FF" w:themeColor="hyperlink"/>
      <w:u w:val="single"/>
    </w:rPr>
  </w:style>
  <w:style w:type="character" w:styleId="Emphasis">
    <w:name w:val="Emphasis"/>
    <w:basedOn w:val="DefaultParagraphFont"/>
    <w:uiPriority w:val="20"/>
    <w:qFormat/>
    <w:rsid w:val="00FA7510"/>
    <w:rPr>
      <w:i/>
      <w:iCs/>
    </w:rPr>
  </w:style>
  <w:style w:type="paragraph" w:customStyle="1" w:styleId="small-text">
    <w:name w:val="small-text"/>
    <w:basedOn w:val="Normal"/>
    <w:rsid w:val="009450F2"/>
    <w:pPr>
      <w:widowControl/>
      <w:autoSpaceDE/>
      <w:autoSpaceDN/>
      <w:spacing w:before="100" w:beforeAutospacing="1" w:after="100" w:afterAutospacing="1" w:line="210" w:lineRule="atLeast"/>
      <w:jc w:val="right"/>
    </w:pPr>
    <w:rPr>
      <w:rFonts w:ascii="Times New Roman" w:eastAsia="Times New Roman" w:hAnsi="Times New Roman" w:cs="Times New Roman"/>
      <w:color w:val="666666"/>
      <w:sz w:val="17"/>
      <w:szCs w:val="17"/>
      <w:lang w:val="en-GB" w:eastAsia="en-GB"/>
    </w:rPr>
  </w:style>
  <w:style w:type="paragraph" w:customStyle="1" w:styleId="h3">
    <w:name w:val="h3"/>
    <w:basedOn w:val="Normal"/>
    <w:rsid w:val="009450F2"/>
    <w:pPr>
      <w:widowControl/>
      <w:autoSpaceDE/>
      <w:autoSpaceDN/>
      <w:spacing w:before="98" w:after="98" w:line="330" w:lineRule="atLeast"/>
    </w:pPr>
    <w:rPr>
      <w:rFonts w:ascii="Times New Roman" w:eastAsia="Times New Roman" w:hAnsi="Times New Roman" w:cs="Times New Roman"/>
      <w:sz w:val="32"/>
      <w:szCs w:val="32"/>
      <w:lang w:val="en-GB" w:eastAsia="en-GB"/>
    </w:rPr>
  </w:style>
  <w:style w:type="character" w:styleId="FollowedHyperlink">
    <w:name w:val="FollowedHyperlink"/>
    <w:basedOn w:val="DefaultParagraphFont"/>
    <w:uiPriority w:val="99"/>
    <w:semiHidden/>
    <w:unhideWhenUsed/>
    <w:rsid w:val="00DC3F15"/>
    <w:rPr>
      <w:color w:val="800080" w:themeColor="followedHyperlink"/>
      <w:u w:val="single"/>
    </w:rPr>
  </w:style>
  <w:style w:type="paragraph" w:customStyle="1" w:styleId="Pa13">
    <w:name w:val="Pa13"/>
    <w:basedOn w:val="Default"/>
    <w:next w:val="Default"/>
    <w:uiPriority w:val="99"/>
    <w:rsid w:val="002F6C81"/>
    <w:pPr>
      <w:spacing w:line="321" w:lineRule="atLeast"/>
    </w:pPr>
    <w:rPr>
      <w:color w:val="auto"/>
    </w:rPr>
  </w:style>
  <w:style w:type="paragraph" w:customStyle="1" w:styleId="Pa4">
    <w:name w:val="Pa4"/>
    <w:basedOn w:val="Default"/>
    <w:next w:val="Default"/>
    <w:uiPriority w:val="99"/>
    <w:rsid w:val="002F6C81"/>
    <w:pPr>
      <w:spacing w:line="221" w:lineRule="atLeast"/>
    </w:pPr>
    <w:rPr>
      <w:color w:val="auto"/>
    </w:rPr>
  </w:style>
  <w:style w:type="paragraph" w:customStyle="1" w:styleId="Pa6">
    <w:name w:val="Pa6"/>
    <w:basedOn w:val="Normal"/>
    <w:next w:val="Normal"/>
    <w:uiPriority w:val="99"/>
    <w:rsid w:val="002F6C81"/>
    <w:pPr>
      <w:widowControl/>
      <w:adjustRightInd w:val="0"/>
      <w:spacing w:line="201" w:lineRule="atLeast"/>
    </w:pPr>
    <w:rPr>
      <w:rFonts w:eastAsiaTheme="minorHAnsi"/>
      <w:sz w:val="24"/>
      <w:szCs w:val="24"/>
      <w:lang w:val="en-GB"/>
    </w:rPr>
  </w:style>
  <w:style w:type="paragraph" w:customStyle="1" w:styleId="Pa7">
    <w:name w:val="Pa7"/>
    <w:basedOn w:val="Normal"/>
    <w:next w:val="Normal"/>
    <w:uiPriority w:val="99"/>
    <w:rsid w:val="002F6C81"/>
    <w:pPr>
      <w:widowControl/>
      <w:adjustRightInd w:val="0"/>
      <w:spacing w:line="191" w:lineRule="atLeast"/>
    </w:pPr>
    <w:rPr>
      <w:rFonts w:eastAsiaTheme="minorHAnsi"/>
      <w:sz w:val="24"/>
      <w:szCs w:val="24"/>
      <w:lang w:val="en-GB"/>
    </w:rPr>
  </w:style>
  <w:style w:type="paragraph" w:customStyle="1" w:styleId="Pa17">
    <w:name w:val="Pa17"/>
    <w:basedOn w:val="Normal"/>
    <w:next w:val="Normal"/>
    <w:uiPriority w:val="99"/>
    <w:rsid w:val="002F6C81"/>
    <w:pPr>
      <w:widowControl/>
      <w:adjustRightInd w:val="0"/>
      <w:spacing w:line="191" w:lineRule="atLeast"/>
    </w:pPr>
    <w:rPr>
      <w:rFonts w:eastAsiaTheme="minorHAnsi"/>
      <w:sz w:val="24"/>
      <w:szCs w:val="24"/>
      <w:lang w:val="en-GB"/>
    </w:rPr>
  </w:style>
  <w:style w:type="paragraph" w:customStyle="1" w:styleId="Pa8">
    <w:name w:val="Pa8"/>
    <w:basedOn w:val="Normal"/>
    <w:next w:val="Normal"/>
    <w:uiPriority w:val="99"/>
    <w:rsid w:val="002F6C81"/>
    <w:pPr>
      <w:widowControl/>
      <w:adjustRightInd w:val="0"/>
      <w:spacing w:line="201" w:lineRule="atLeast"/>
    </w:pPr>
    <w:rPr>
      <w:rFonts w:eastAsiaTheme="minorHAnsi"/>
      <w:sz w:val="24"/>
      <w:szCs w:val="24"/>
      <w:lang w:val="en-GB"/>
    </w:rPr>
  </w:style>
  <w:style w:type="paragraph" w:customStyle="1" w:styleId="Pa18">
    <w:name w:val="Pa18"/>
    <w:basedOn w:val="Normal"/>
    <w:next w:val="Normal"/>
    <w:uiPriority w:val="99"/>
    <w:rsid w:val="002F6C81"/>
    <w:pPr>
      <w:widowControl/>
      <w:adjustRightInd w:val="0"/>
      <w:spacing w:line="201" w:lineRule="atLeast"/>
    </w:pPr>
    <w:rPr>
      <w:rFonts w:eastAsiaTheme="minorHAnsi"/>
      <w:sz w:val="24"/>
      <w:szCs w:val="24"/>
      <w:lang w:val="en-GB"/>
    </w:rPr>
  </w:style>
  <w:style w:type="paragraph" w:styleId="TOCHeading">
    <w:name w:val="TOC Heading"/>
    <w:basedOn w:val="Heading1"/>
    <w:next w:val="Normal"/>
    <w:uiPriority w:val="39"/>
    <w:semiHidden/>
    <w:unhideWhenUsed/>
    <w:qFormat/>
    <w:rsid w:val="00447A7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447A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2836">
      <w:bodyDiv w:val="1"/>
      <w:marLeft w:val="0"/>
      <w:marRight w:val="0"/>
      <w:marTop w:val="0"/>
      <w:marBottom w:val="0"/>
      <w:divBdr>
        <w:top w:val="none" w:sz="0" w:space="0" w:color="auto"/>
        <w:left w:val="none" w:sz="0" w:space="0" w:color="auto"/>
        <w:bottom w:val="none" w:sz="0" w:space="0" w:color="auto"/>
        <w:right w:val="none" w:sz="0" w:space="0" w:color="auto"/>
      </w:divBdr>
    </w:div>
    <w:div w:id="589318204">
      <w:bodyDiv w:val="1"/>
      <w:marLeft w:val="0"/>
      <w:marRight w:val="0"/>
      <w:marTop w:val="0"/>
      <w:marBottom w:val="0"/>
      <w:divBdr>
        <w:top w:val="none" w:sz="0" w:space="0" w:color="auto"/>
        <w:left w:val="none" w:sz="0" w:space="0" w:color="auto"/>
        <w:bottom w:val="none" w:sz="0" w:space="0" w:color="auto"/>
        <w:right w:val="none" w:sz="0" w:space="0" w:color="auto"/>
      </w:divBdr>
      <w:divsChild>
        <w:div w:id="1782142216">
          <w:marLeft w:val="0"/>
          <w:marRight w:val="0"/>
          <w:marTop w:val="0"/>
          <w:marBottom w:val="0"/>
          <w:divBdr>
            <w:top w:val="none" w:sz="0" w:space="0" w:color="auto"/>
            <w:left w:val="none" w:sz="0" w:space="0" w:color="auto"/>
            <w:bottom w:val="none" w:sz="0" w:space="0" w:color="auto"/>
            <w:right w:val="none" w:sz="0" w:space="0" w:color="auto"/>
          </w:divBdr>
          <w:divsChild>
            <w:div w:id="354960795">
              <w:marLeft w:val="0"/>
              <w:marRight w:val="0"/>
              <w:marTop w:val="0"/>
              <w:marBottom w:val="0"/>
              <w:divBdr>
                <w:top w:val="none" w:sz="0" w:space="0" w:color="auto"/>
                <w:left w:val="none" w:sz="0" w:space="0" w:color="auto"/>
                <w:bottom w:val="none" w:sz="0" w:space="0" w:color="auto"/>
                <w:right w:val="none" w:sz="0" w:space="0" w:color="auto"/>
              </w:divBdr>
              <w:divsChild>
                <w:div w:id="123081139">
                  <w:marLeft w:val="150"/>
                  <w:marRight w:val="150"/>
                  <w:marTop w:val="0"/>
                  <w:marBottom w:val="0"/>
                  <w:divBdr>
                    <w:top w:val="none" w:sz="0" w:space="0" w:color="auto"/>
                    <w:left w:val="none" w:sz="0" w:space="0" w:color="auto"/>
                    <w:bottom w:val="none" w:sz="0" w:space="0" w:color="auto"/>
                    <w:right w:val="none" w:sz="0" w:space="0" w:color="auto"/>
                  </w:divBdr>
                  <w:divsChild>
                    <w:div w:id="1483499531">
                      <w:marLeft w:val="150"/>
                      <w:marRight w:val="150"/>
                      <w:marTop w:val="0"/>
                      <w:marBottom w:val="0"/>
                      <w:divBdr>
                        <w:top w:val="none" w:sz="0" w:space="0" w:color="auto"/>
                        <w:left w:val="none" w:sz="0" w:space="0" w:color="auto"/>
                        <w:bottom w:val="none" w:sz="0" w:space="0" w:color="auto"/>
                        <w:right w:val="none" w:sz="0" w:space="0" w:color="auto"/>
                      </w:divBdr>
                      <w:divsChild>
                        <w:div w:id="832642309">
                          <w:marLeft w:val="0"/>
                          <w:marRight w:val="0"/>
                          <w:marTop w:val="0"/>
                          <w:marBottom w:val="300"/>
                          <w:divBdr>
                            <w:top w:val="none" w:sz="0" w:space="0" w:color="auto"/>
                            <w:left w:val="none" w:sz="0" w:space="0" w:color="auto"/>
                            <w:bottom w:val="none" w:sz="0" w:space="0" w:color="auto"/>
                            <w:right w:val="none" w:sz="0" w:space="0" w:color="auto"/>
                          </w:divBdr>
                          <w:divsChild>
                            <w:div w:id="5297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51765">
      <w:bodyDiv w:val="1"/>
      <w:marLeft w:val="0"/>
      <w:marRight w:val="0"/>
      <w:marTop w:val="0"/>
      <w:marBottom w:val="0"/>
      <w:divBdr>
        <w:top w:val="none" w:sz="0" w:space="0" w:color="auto"/>
        <w:left w:val="none" w:sz="0" w:space="0" w:color="auto"/>
        <w:bottom w:val="none" w:sz="0" w:space="0" w:color="auto"/>
        <w:right w:val="none" w:sz="0" w:space="0" w:color="auto"/>
      </w:divBdr>
    </w:div>
    <w:div w:id="909268873">
      <w:bodyDiv w:val="1"/>
      <w:marLeft w:val="0"/>
      <w:marRight w:val="0"/>
      <w:marTop w:val="0"/>
      <w:marBottom w:val="0"/>
      <w:divBdr>
        <w:top w:val="none" w:sz="0" w:space="0" w:color="auto"/>
        <w:left w:val="none" w:sz="0" w:space="0" w:color="auto"/>
        <w:bottom w:val="none" w:sz="0" w:space="0" w:color="auto"/>
        <w:right w:val="none" w:sz="0" w:space="0" w:color="auto"/>
      </w:divBdr>
    </w:div>
    <w:div w:id="1935551672">
      <w:bodyDiv w:val="1"/>
      <w:marLeft w:val="0"/>
      <w:marRight w:val="0"/>
      <w:marTop w:val="0"/>
      <w:marBottom w:val="0"/>
      <w:divBdr>
        <w:top w:val="none" w:sz="0" w:space="0" w:color="auto"/>
        <w:left w:val="none" w:sz="0" w:space="0" w:color="auto"/>
        <w:bottom w:val="none" w:sz="0" w:space="0" w:color="auto"/>
        <w:right w:val="none" w:sz="0" w:space="0" w:color="auto"/>
      </w:divBdr>
    </w:div>
    <w:div w:id="199768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ata.london.gov.uk/dataset/ethnic-groups-borough"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lzheimers.org.uk/site/scripts/download_info.php?fileID=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gbaug\AppData\Local\Microsoft\Windows\Temporary%20Internet%20Files\Content.Outlook\MPS9RYNK\Book1%20(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nwlondon.local\userdata\HA_MyDocs\diclen\My%20Documents\Dementia\Dementia%20Diagnosis%20(2018-19)\Copy%20of%20Dementia%20Diagnosis%20Rate%20Report_July_18.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GB" sz="1400" b="0"/>
              <a:t>Projected Harrow Population over the age of 65</a:t>
            </a:r>
            <a:r>
              <a:rPr lang="en-GB" sz="1400" b="0" baseline="0"/>
              <a:t> 2018 -2025</a:t>
            </a:r>
            <a:endParaRPr lang="en-GB" sz="1400" b="0"/>
          </a:p>
        </c:rich>
      </c:tx>
      <c:layout/>
      <c:overlay val="0"/>
    </c:title>
    <c:autoTitleDeleted val="0"/>
    <c:plotArea>
      <c:layout/>
      <c:lineChart>
        <c:grouping val="standard"/>
        <c:varyColors val="0"/>
        <c:ser>
          <c:idx val="1"/>
          <c:order val="0"/>
          <c:tx>
            <c:strRef>
              <c:f>Sheet1!$K$1</c:f>
              <c:strCache>
                <c:ptCount val="1"/>
                <c:pt idx="0">
                  <c:v>65 to 69</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Sheet1!$K$2:$K$9</c:f>
              <c:numCache>
                <c:formatCode>General</c:formatCode>
                <c:ptCount val="8"/>
                <c:pt idx="0">
                  <c:v>11100</c:v>
                </c:pt>
                <c:pt idx="1">
                  <c:v>11100</c:v>
                </c:pt>
                <c:pt idx="2">
                  <c:v>11400</c:v>
                </c:pt>
                <c:pt idx="3">
                  <c:v>11700</c:v>
                </c:pt>
                <c:pt idx="4">
                  <c:v>12000</c:v>
                </c:pt>
                <c:pt idx="5">
                  <c:v>12200</c:v>
                </c:pt>
                <c:pt idx="6">
                  <c:v>12500</c:v>
                </c:pt>
                <c:pt idx="7">
                  <c:v>12700</c:v>
                </c:pt>
              </c:numCache>
            </c:numRef>
          </c:val>
          <c:smooth val="0"/>
        </c:ser>
        <c:ser>
          <c:idx val="2"/>
          <c:order val="1"/>
          <c:tx>
            <c:strRef>
              <c:f>Sheet1!$L$1</c:f>
              <c:strCache>
                <c:ptCount val="1"/>
                <c:pt idx="0">
                  <c:v>70 to 74</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Sheet1!$L$2:$L$9</c:f>
              <c:numCache>
                <c:formatCode>#,##0</c:formatCode>
                <c:ptCount val="8"/>
                <c:pt idx="0">
                  <c:v>9700</c:v>
                </c:pt>
                <c:pt idx="1">
                  <c:v>9900</c:v>
                </c:pt>
                <c:pt idx="2">
                  <c:v>10100</c:v>
                </c:pt>
                <c:pt idx="3">
                  <c:v>10200</c:v>
                </c:pt>
                <c:pt idx="4">
                  <c:v>10200</c:v>
                </c:pt>
                <c:pt idx="5">
                  <c:v>10200</c:v>
                </c:pt>
                <c:pt idx="6">
                  <c:v>10300</c:v>
                </c:pt>
                <c:pt idx="7">
                  <c:v>10500</c:v>
                </c:pt>
              </c:numCache>
            </c:numRef>
          </c:val>
          <c:smooth val="0"/>
        </c:ser>
        <c:ser>
          <c:idx val="3"/>
          <c:order val="2"/>
          <c:tx>
            <c:strRef>
              <c:f>Sheet1!$M$1</c:f>
              <c:strCache>
                <c:ptCount val="1"/>
                <c:pt idx="0">
                  <c:v>75 to 79</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Sheet1!$M$2:$M$9</c:f>
              <c:numCache>
                <c:formatCode>#,##0</c:formatCode>
                <c:ptCount val="8"/>
                <c:pt idx="0">
                  <c:v>7000</c:v>
                </c:pt>
                <c:pt idx="1">
                  <c:v>7200</c:v>
                </c:pt>
                <c:pt idx="2">
                  <c:v>7300</c:v>
                </c:pt>
                <c:pt idx="3">
                  <c:v>7700</c:v>
                </c:pt>
                <c:pt idx="4">
                  <c:v>8200</c:v>
                </c:pt>
                <c:pt idx="5">
                  <c:v>8600</c:v>
                </c:pt>
                <c:pt idx="6">
                  <c:v>8800</c:v>
                </c:pt>
                <c:pt idx="7">
                  <c:v>9000</c:v>
                </c:pt>
              </c:numCache>
            </c:numRef>
          </c:val>
          <c:smooth val="0"/>
        </c:ser>
        <c:ser>
          <c:idx val="4"/>
          <c:order val="3"/>
          <c:tx>
            <c:strRef>
              <c:f>Sheet1!$N$1</c:f>
              <c:strCache>
                <c:ptCount val="1"/>
                <c:pt idx="0">
                  <c:v>80 to 84</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Sheet1!$N$2:$N$9</c:f>
              <c:numCache>
                <c:formatCode>#,##0</c:formatCode>
                <c:ptCount val="8"/>
                <c:pt idx="0">
                  <c:v>5700</c:v>
                </c:pt>
                <c:pt idx="1">
                  <c:v>5800</c:v>
                </c:pt>
                <c:pt idx="2">
                  <c:v>5900</c:v>
                </c:pt>
                <c:pt idx="3">
                  <c:v>5800</c:v>
                </c:pt>
                <c:pt idx="4">
                  <c:v>5800</c:v>
                </c:pt>
                <c:pt idx="5">
                  <c:v>5800</c:v>
                </c:pt>
                <c:pt idx="6">
                  <c:v>6000</c:v>
                </c:pt>
                <c:pt idx="7">
                  <c:v>6100</c:v>
                </c:pt>
              </c:numCache>
            </c:numRef>
          </c:val>
          <c:smooth val="0"/>
        </c:ser>
        <c:ser>
          <c:idx val="5"/>
          <c:order val="4"/>
          <c:tx>
            <c:strRef>
              <c:f>Sheet1!$O$1</c:f>
              <c:strCache>
                <c:ptCount val="1"/>
                <c:pt idx="0">
                  <c:v>85 to 89</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Sheet1!$O$2:$O$9</c:f>
              <c:numCache>
                <c:formatCode>#,##0</c:formatCode>
                <c:ptCount val="8"/>
                <c:pt idx="0">
                  <c:v>3500</c:v>
                </c:pt>
                <c:pt idx="1">
                  <c:v>3600</c:v>
                </c:pt>
                <c:pt idx="2">
                  <c:v>3700</c:v>
                </c:pt>
                <c:pt idx="3">
                  <c:v>3800</c:v>
                </c:pt>
                <c:pt idx="4">
                  <c:v>3900</c:v>
                </c:pt>
                <c:pt idx="5">
                  <c:v>4000</c:v>
                </c:pt>
                <c:pt idx="6">
                  <c:v>4100</c:v>
                </c:pt>
                <c:pt idx="7">
                  <c:v>4100</c:v>
                </c:pt>
              </c:numCache>
            </c:numRef>
          </c:val>
          <c:smooth val="0"/>
        </c:ser>
        <c:ser>
          <c:idx val="6"/>
          <c:order val="5"/>
          <c:tx>
            <c:strRef>
              <c:f>Sheet1!$P$1</c:f>
              <c:strCache>
                <c:ptCount val="1"/>
                <c:pt idx="0">
                  <c:v>90+</c:v>
                </c:pt>
              </c:strCache>
            </c:strRef>
          </c:tx>
          <c:cat>
            <c:numRef>
              <c:f>Sheet1!$J$2:$J$9</c:f>
              <c:numCache>
                <c:formatCode>General</c:formatCode>
                <c:ptCount val="8"/>
                <c:pt idx="0">
                  <c:v>2018</c:v>
                </c:pt>
                <c:pt idx="1">
                  <c:v>2019</c:v>
                </c:pt>
                <c:pt idx="2">
                  <c:v>2020</c:v>
                </c:pt>
                <c:pt idx="3">
                  <c:v>2021</c:v>
                </c:pt>
                <c:pt idx="4">
                  <c:v>2022</c:v>
                </c:pt>
                <c:pt idx="5">
                  <c:v>2023</c:v>
                </c:pt>
                <c:pt idx="6">
                  <c:v>2024</c:v>
                </c:pt>
                <c:pt idx="7">
                  <c:v>2025</c:v>
                </c:pt>
              </c:numCache>
            </c:numRef>
          </c:cat>
          <c:val>
            <c:numRef>
              <c:f>Sheet1!$P$2:$P$9</c:f>
              <c:numCache>
                <c:formatCode>#,##0</c:formatCode>
                <c:ptCount val="8"/>
                <c:pt idx="0">
                  <c:v>2200</c:v>
                </c:pt>
                <c:pt idx="1">
                  <c:v>2200</c:v>
                </c:pt>
                <c:pt idx="2">
                  <c:v>2400</c:v>
                </c:pt>
                <c:pt idx="3">
                  <c:v>2500</c:v>
                </c:pt>
                <c:pt idx="4">
                  <c:v>2600</c:v>
                </c:pt>
                <c:pt idx="5">
                  <c:v>2700</c:v>
                </c:pt>
                <c:pt idx="6">
                  <c:v>2800</c:v>
                </c:pt>
                <c:pt idx="7">
                  <c:v>3000</c:v>
                </c:pt>
              </c:numCache>
            </c:numRef>
          </c:val>
          <c:smooth val="0"/>
        </c:ser>
        <c:dLbls>
          <c:showLegendKey val="0"/>
          <c:showVal val="0"/>
          <c:showCatName val="0"/>
          <c:showSerName val="0"/>
          <c:showPercent val="0"/>
          <c:showBubbleSize val="0"/>
        </c:dLbls>
        <c:marker val="1"/>
        <c:smooth val="0"/>
        <c:axId val="35854592"/>
        <c:axId val="35856384"/>
      </c:lineChart>
      <c:catAx>
        <c:axId val="35854592"/>
        <c:scaling>
          <c:orientation val="minMax"/>
        </c:scaling>
        <c:delete val="0"/>
        <c:axPos val="b"/>
        <c:numFmt formatCode="General" sourceLinked="1"/>
        <c:majorTickMark val="none"/>
        <c:minorTickMark val="none"/>
        <c:tickLblPos val="nextTo"/>
        <c:crossAx val="35856384"/>
        <c:crosses val="autoZero"/>
        <c:auto val="1"/>
        <c:lblAlgn val="ctr"/>
        <c:lblOffset val="100"/>
        <c:noMultiLvlLbl val="0"/>
      </c:catAx>
      <c:valAx>
        <c:axId val="35856384"/>
        <c:scaling>
          <c:orientation val="minMax"/>
        </c:scaling>
        <c:delete val="0"/>
        <c:axPos val="l"/>
        <c:majorGridlines/>
        <c:title>
          <c:tx>
            <c:rich>
              <a:bodyPr/>
              <a:lstStyle/>
              <a:p>
                <a:pPr>
                  <a:defRPr/>
                </a:pPr>
                <a:r>
                  <a:rPr lang="en-GB"/>
                  <a:t>Population</a:t>
                </a:r>
              </a:p>
            </c:rich>
          </c:tx>
          <c:layout/>
          <c:overlay val="0"/>
        </c:title>
        <c:numFmt formatCode="General" sourceLinked="1"/>
        <c:majorTickMark val="none"/>
        <c:minorTickMark val="none"/>
        <c:tickLblPos val="nextTo"/>
        <c:crossAx val="35854592"/>
        <c:crosses val="autoZero"/>
        <c:crossBetween val="between"/>
      </c:valAx>
      <c:spPr>
        <a:solidFill>
          <a:schemeClr val="accent1">
            <a:lumMod val="20000"/>
            <a:lumOff val="80000"/>
          </a:schemeClr>
        </a:solidFill>
      </c:spPr>
    </c:plotArea>
    <c:legend>
      <c:legendPos val="r"/>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Appendix!$B$8</c:f>
          <c:strCache>
            <c:ptCount val="1"/>
            <c:pt idx="0">
              <c:v>Number of CCGs not reaching the standard by Region and STP</c:v>
            </c:pt>
          </c:strCache>
        </c:strRef>
      </c:tx>
      <c:layout>
        <c:manualLayout>
          <c:xMode val="edge"/>
          <c:yMode val="edge"/>
          <c:x val="3.5351536052504955E-2"/>
          <c:y val="1.4547545422872206E-2"/>
        </c:manualLayout>
      </c:layout>
      <c:overlay val="0"/>
      <c:txPr>
        <a:bodyPr/>
        <a:lstStyle/>
        <a:p>
          <a:pPr>
            <a:defRPr sz="1400"/>
          </a:pPr>
          <a:endParaRPr lang="en-US"/>
        </a:p>
      </c:txPr>
    </c:title>
    <c:autoTitleDeleted val="0"/>
    <c:plotArea>
      <c:layout/>
      <c:barChart>
        <c:barDir val="col"/>
        <c:grouping val="clustered"/>
        <c:varyColors val="0"/>
        <c:ser>
          <c:idx val="0"/>
          <c:order val="0"/>
          <c:tx>
            <c:strRef>
              <c:f>Appendix!$D$10</c:f>
              <c:strCache>
                <c:ptCount val="1"/>
                <c:pt idx="0">
                  <c:v>May-18</c:v>
                </c:pt>
              </c:strCache>
            </c:strRef>
          </c:tx>
          <c:spPr>
            <a:solidFill>
              <a:schemeClr val="bg1">
                <a:lumMod val="75000"/>
              </a:schemeClr>
            </a:solidFill>
            <a:ln>
              <a:noFill/>
            </a:ln>
          </c:spPr>
          <c:invertIfNegative val="0"/>
          <c:cat>
            <c:strRef>
              <c:f>Appendix!$C$11:$C$29</c:f>
              <c:strCache>
                <c:ptCount val="6"/>
                <c:pt idx="0">
                  <c:v>London</c:v>
                </c:pt>
                <c:pt idx="1">
                  <c:v>North Central London STP</c:v>
                </c:pt>
                <c:pt idx="2">
                  <c:v>North East London STP</c:v>
                </c:pt>
                <c:pt idx="3">
                  <c:v>North West London STP</c:v>
                </c:pt>
                <c:pt idx="4">
                  <c:v>South East London STP</c:v>
                </c:pt>
                <c:pt idx="5">
                  <c:v>South West London STP</c:v>
                </c:pt>
              </c:strCache>
            </c:strRef>
          </c:cat>
          <c:val>
            <c:numRef>
              <c:f>[0]!PrevMon2R</c:f>
              <c:numCache>
                <c:formatCode>General</c:formatCode>
                <c:ptCount val="6"/>
                <c:pt idx="0">
                  <c:v>6</c:v>
                </c:pt>
                <c:pt idx="1">
                  <c:v>0</c:v>
                </c:pt>
                <c:pt idx="2">
                  <c:v>2</c:v>
                </c:pt>
                <c:pt idx="3">
                  <c:v>1</c:v>
                </c:pt>
                <c:pt idx="4">
                  <c:v>2</c:v>
                </c:pt>
                <c:pt idx="5">
                  <c:v>1</c:v>
                </c:pt>
              </c:numCache>
            </c:numRef>
          </c:val>
        </c:ser>
        <c:ser>
          <c:idx val="1"/>
          <c:order val="1"/>
          <c:tx>
            <c:strRef>
              <c:f>Appendix!$E$10</c:f>
              <c:strCache>
                <c:ptCount val="1"/>
                <c:pt idx="0">
                  <c:v>Jun-18</c:v>
                </c:pt>
              </c:strCache>
            </c:strRef>
          </c:tx>
          <c:spPr>
            <a:solidFill>
              <a:schemeClr val="bg1">
                <a:lumMod val="65000"/>
              </a:schemeClr>
            </a:solidFill>
            <a:ln>
              <a:noFill/>
            </a:ln>
          </c:spPr>
          <c:invertIfNegative val="0"/>
          <c:cat>
            <c:strRef>
              <c:f>Appendix!$C$11:$C$29</c:f>
              <c:strCache>
                <c:ptCount val="6"/>
                <c:pt idx="0">
                  <c:v>London</c:v>
                </c:pt>
                <c:pt idx="1">
                  <c:v>North Central London STP</c:v>
                </c:pt>
                <c:pt idx="2">
                  <c:v>North East London STP</c:v>
                </c:pt>
                <c:pt idx="3">
                  <c:v>North West London STP</c:v>
                </c:pt>
                <c:pt idx="4">
                  <c:v>South East London STP</c:v>
                </c:pt>
                <c:pt idx="5">
                  <c:v>South West London STP</c:v>
                </c:pt>
              </c:strCache>
            </c:strRef>
          </c:cat>
          <c:val>
            <c:numRef>
              <c:f>[0]!PrevMonR</c:f>
              <c:numCache>
                <c:formatCode>General</c:formatCode>
                <c:ptCount val="6"/>
                <c:pt idx="0">
                  <c:v>6</c:v>
                </c:pt>
                <c:pt idx="1">
                  <c:v>0</c:v>
                </c:pt>
                <c:pt idx="2">
                  <c:v>2</c:v>
                </c:pt>
                <c:pt idx="3">
                  <c:v>1</c:v>
                </c:pt>
                <c:pt idx="4">
                  <c:v>2</c:v>
                </c:pt>
                <c:pt idx="5">
                  <c:v>1</c:v>
                </c:pt>
              </c:numCache>
            </c:numRef>
          </c:val>
        </c:ser>
        <c:ser>
          <c:idx val="2"/>
          <c:order val="2"/>
          <c:tx>
            <c:strRef>
              <c:f>Appendix!$F$10</c:f>
              <c:strCache>
                <c:ptCount val="1"/>
                <c:pt idx="0">
                  <c:v>Jul-18</c:v>
                </c:pt>
              </c:strCache>
            </c:strRef>
          </c:tx>
          <c:spPr>
            <a:solidFill>
              <a:srgbClr val="005EB8">
                <a:alpha val="60000"/>
              </a:srgbClr>
            </a:solidFill>
          </c:spPr>
          <c:invertIfNegative val="0"/>
          <c:cat>
            <c:strRef>
              <c:f>Appendix!$C$11:$C$29</c:f>
              <c:strCache>
                <c:ptCount val="6"/>
                <c:pt idx="0">
                  <c:v>London</c:v>
                </c:pt>
                <c:pt idx="1">
                  <c:v>North Central London STP</c:v>
                </c:pt>
                <c:pt idx="2">
                  <c:v>North East London STP</c:v>
                </c:pt>
                <c:pt idx="3">
                  <c:v>North West London STP</c:v>
                </c:pt>
                <c:pt idx="4">
                  <c:v>South East London STP</c:v>
                </c:pt>
                <c:pt idx="5">
                  <c:v>South West London STP</c:v>
                </c:pt>
              </c:strCache>
            </c:strRef>
          </c:cat>
          <c:val>
            <c:numRef>
              <c:f>[0]!CurMonR</c:f>
              <c:numCache>
                <c:formatCode>General</c:formatCode>
                <c:ptCount val="6"/>
                <c:pt idx="0">
                  <c:v>6</c:v>
                </c:pt>
                <c:pt idx="1">
                  <c:v>0</c:v>
                </c:pt>
                <c:pt idx="2">
                  <c:v>2</c:v>
                </c:pt>
                <c:pt idx="3">
                  <c:v>1</c:v>
                </c:pt>
                <c:pt idx="4">
                  <c:v>2</c:v>
                </c:pt>
                <c:pt idx="5">
                  <c:v>1</c:v>
                </c:pt>
              </c:numCache>
            </c:numRef>
          </c:val>
        </c:ser>
        <c:ser>
          <c:idx val="3"/>
          <c:order val="3"/>
          <c:tx>
            <c:strRef>
              <c:f>Appendix!$G$10</c:f>
              <c:strCache>
                <c:ptCount val="1"/>
                <c:pt idx="0">
                  <c:v>Ambition</c:v>
                </c:pt>
              </c:strCache>
            </c:strRef>
          </c:tx>
          <c:spPr>
            <a:solidFill>
              <a:srgbClr val="92D050">
                <a:alpha val="70000"/>
              </a:srgbClr>
            </a:solidFill>
          </c:spPr>
          <c:invertIfNegative val="0"/>
          <c:cat>
            <c:strRef>
              <c:f>Appendix!$C$11:$C$29</c:f>
              <c:strCache>
                <c:ptCount val="6"/>
                <c:pt idx="0">
                  <c:v>London</c:v>
                </c:pt>
                <c:pt idx="1">
                  <c:v>North Central London STP</c:v>
                </c:pt>
                <c:pt idx="2">
                  <c:v>North East London STP</c:v>
                </c:pt>
                <c:pt idx="3">
                  <c:v>North West London STP</c:v>
                </c:pt>
                <c:pt idx="4">
                  <c:v>South East London STP</c:v>
                </c:pt>
                <c:pt idx="5">
                  <c:v>South West London STP</c:v>
                </c:pt>
              </c:strCache>
            </c:strRef>
          </c:cat>
          <c:val>
            <c:numRef>
              <c:f>[0]!AmbR</c:f>
              <c:numCache>
                <c:formatCode>General</c:formatCode>
                <c:ptCount val="6"/>
                <c:pt idx="0">
                  <c:v>3</c:v>
                </c:pt>
                <c:pt idx="1">
                  <c:v>0</c:v>
                </c:pt>
                <c:pt idx="2">
                  <c:v>1</c:v>
                </c:pt>
                <c:pt idx="3">
                  <c:v>0</c:v>
                </c:pt>
                <c:pt idx="4">
                  <c:v>1</c:v>
                </c:pt>
                <c:pt idx="5">
                  <c:v>1</c:v>
                </c:pt>
              </c:numCache>
            </c:numRef>
          </c:val>
        </c:ser>
        <c:dLbls>
          <c:dLblPos val="inBase"/>
          <c:showLegendKey val="0"/>
          <c:showVal val="1"/>
          <c:showCatName val="0"/>
          <c:showSerName val="0"/>
          <c:showPercent val="0"/>
          <c:showBubbleSize val="0"/>
        </c:dLbls>
        <c:gapWidth val="70"/>
        <c:axId val="36066048"/>
        <c:axId val="36067584"/>
      </c:barChart>
      <c:catAx>
        <c:axId val="36066048"/>
        <c:scaling>
          <c:orientation val="minMax"/>
        </c:scaling>
        <c:delete val="0"/>
        <c:axPos val="b"/>
        <c:majorTickMark val="out"/>
        <c:minorTickMark val="none"/>
        <c:tickLblPos val="nextTo"/>
        <c:crossAx val="36067584"/>
        <c:crosses val="autoZero"/>
        <c:auto val="1"/>
        <c:lblAlgn val="ctr"/>
        <c:lblOffset val="100"/>
        <c:noMultiLvlLbl val="0"/>
      </c:catAx>
      <c:valAx>
        <c:axId val="36067584"/>
        <c:scaling>
          <c:orientation val="minMax"/>
        </c:scaling>
        <c:delete val="0"/>
        <c:axPos val="l"/>
        <c:title>
          <c:tx>
            <c:rich>
              <a:bodyPr rot="-5400000" vert="horz"/>
              <a:lstStyle/>
              <a:p>
                <a:pPr>
                  <a:defRPr sz="900"/>
                </a:pPr>
                <a:r>
                  <a:rPr lang="en-US" sz="900"/>
                  <a:t>Number of CCGs not meeting the standard</a:t>
                </a:r>
              </a:p>
            </c:rich>
          </c:tx>
          <c:layout/>
          <c:overlay val="0"/>
        </c:title>
        <c:numFmt formatCode="General" sourceLinked="1"/>
        <c:majorTickMark val="none"/>
        <c:minorTickMark val="none"/>
        <c:tickLblPos val="nextTo"/>
        <c:spPr>
          <a:ln>
            <a:solidFill>
              <a:schemeClr val="bg1">
                <a:lumMod val="85000"/>
              </a:schemeClr>
            </a:solidFill>
          </a:ln>
        </c:spPr>
        <c:crossAx val="36066048"/>
        <c:crosses val="autoZero"/>
        <c:crossBetween val="between"/>
      </c:valAx>
    </c:plotArea>
    <c:legend>
      <c:legendPos val="r"/>
      <c:layout>
        <c:manualLayout>
          <c:xMode val="edge"/>
          <c:yMode val="edge"/>
          <c:x val="0.79926980281310989"/>
          <c:y val="9.9922097337603183E-2"/>
          <c:w val="0.14927417726630324"/>
          <c:h val="0.30105487180671331"/>
        </c:manualLayout>
      </c:layout>
      <c:overlay val="1"/>
    </c:legend>
    <c:plotVisOnly val="0"/>
    <c:dispBlanksAs val="zero"/>
    <c:showDLblsOverMax val="0"/>
  </c:chart>
  <c:spPr>
    <a:solidFill>
      <a:srgbClr val="4F81BD">
        <a:lumMod val="20000"/>
        <a:lumOff val="80000"/>
      </a:srgbClr>
    </a:solidFill>
    <a:ln>
      <a:noFill/>
    </a:ln>
  </c:spPr>
  <c:txPr>
    <a:bodyPr/>
    <a:lstStyle/>
    <a:p>
      <a:pPr>
        <a:defRPr>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4C3D-A843-4566-9C2F-82FED6E1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8037</Words>
  <Characters>45813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Microsoft Word - Dementia Strategy - comments on 21july10.doc</vt:lpstr>
    </vt:vector>
  </TitlesOfParts>
  <Company>BRENTNHS</Company>
  <LinksUpToDate>false</LinksUpToDate>
  <CharactersWithSpaces>53743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Dementia Strategy - comments on 21july10.doc</dc:title>
  <dc:creator>RBhagvat</dc:creator>
  <cp:lastModifiedBy>Lennie Dick</cp:lastModifiedBy>
  <cp:revision>2</cp:revision>
  <cp:lastPrinted>2018-10-04T23:54:00Z</cp:lastPrinted>
  <dcterms:created xsi:type="dcterms:W3CDTF">2018-10-04T23:56:00Z</dcterms:created>
  <dcterms:modified xsi:type="dcterms:W3CDTF">2018-10-04T23:56:00Z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Creator">
    <vt:lpwstr>PScript5.dll Version 5.2</vt:lpwstr>
  </property>
  <property fmtid="{D5CDD505-2E9C-101B-9397-08002B2CF9AE}" pid="4" name="LastSaved">
    <vt:filetime>2018-07-10T00:00:00Z</vt:filetime>
  </property>
</Properties>
</file>